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043E" w14:textId="073F1F1E" w:rsidR="00BD08B3" w:rsidRPr="00CE310D" w:rsidRDefault="00BD08B3" w:rsidP="00335BCE">
      <w:pPr>
        <w:rPr>
          <w:rFonts w:asciiTheme="minorHAnsi" w:hAnsiTheme="minorHAnsi" w:cstheme="minorHAnsi"/>
        </w:rPr>
      </w:pPr>
    </w:p>
    <w:p w14:paraId="070A5782" w14:textId="77777777" w:rsidR="007D6633" w:rsidRPr="00CE310D" w:rsidRDefault="007D6633" w:rsidP="007D6633">
      <w:pPr>
        <w:rPr>
          <w:rFonts w:asciiTheme="minorHAnsi" w:hAnsiTheme="minorHAnsi" w:cstheme="minorHAnsi"/>
          <w:sz w:val="20"/>
          <w:szCs w:val="20"/>
        </w:rPr>
      </w:pPr>
    </w:p>
    <w:tbl>
      <w:tblPr>
        <w:tblStyle w:val="export-amendments-table"/>
        <w:tblW w:w="5310" w:type="pct"/>
        <w:tblInd w:w="-15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firstRow="1" w:lastRow="0" w:firstColumn="1" w:lastColumn="0" w:noHBand="0" w:noVBand="1"/>
      </w:tblPr>
      <w:tblGrid>
        <w:gridCol w:w="618"/>
        <w:gridCol w:w="1035"/>
        <w:gridCol w:w="7155"/>
        <w:gridCol w:w="5565"/>
      </w:tblGrid>
      <w:tr w:rsidR="007D6633" w:rsidRPr="00CE310D" w14:paraId="4E1FDA68"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2CBC3B6" w14:textId="7019FD51" w:rsidR="007D6633" w:rsidRPr="00CE310D" w:rsidRDefault="007D6633" w:rsidP="00CE310D">
            <w:pPr>
              <w:rPr>
                <w:rFonts w:asciiTheme="minorHAnsi" w:hAnsiTheme="minorHAnsi" w:cstheme="minorHAnsi"/>
                <w:b/>
                <w:bCs/>
                <w:sz w:val="20"/>
                <w:szCs w:val="20"/>
              </w:rPr>
            </w:pPr>
            <w:r w:rsidRPr="00CE310D">
              <w:rPr>
                <w:rFonts w:asciiTheme="minorHAnsi" w:hAnsiTheme="minorHAnsi" w:cstheme="minorHAnsi"/>
                <w:b/>
                <w:bCs/>
              </w:rPr>
              <w:t>Zaprimljeni komentari</w:t>
            </w:r>
            <w:r w:rsidR="00D0076F" w:rsidRPr="00CE310D">
              <w:rPr>
                <w:rFonts w:asciiTheme="minorHAnsi" w:hAnsiTheme="minorHAnsi" w:cstheme="minorHAnsi"/>
                <w:b/>
                <w:bCs/>
              </w:rPr>
              <w:t xml:space="preserve"> na pitanje 1: </w:t>
            </w:r>
            <w:r w:rsidR="00D0076F" w:rsidRPr="00CE310D">
              <w:rPr>
                <w:rFonts w:asciiTheme="minorHAnsi" w:hAnsiTheme="minorHAnsi" w:cstheme="minorHAnsi"/>
              </w:rPr>
              <w:t xml:space="preserve">Koje je vaše mišljenje o prijedlogu HAKOM-a vezano uz opseg ulaznih podataka i parametara u </w:t>
            </w:r>
            <w:proofErr w:type="spellStart"/>
            <w:r w:rsidR="00D0076F" w:rsidRPr="00CE310D">
              <w:rPr>
                <w:rFonts w:asciiTheme="minorHAnsi" w:hAnsiTheme="minorHAnsi" w:cstheme="minorHAnsi"/>
              </w:rPr>
              <w:t>BU-LRIC</w:t>
            </w:r>
            <w:proofErr w:type="spellEnd"/>
            <w:r w:rsidR="00D0076F" w:rsidRPr="00CE310D">
              <w:rPr>
                <w:rFonts w:asciiTheme="minorHAnsi" w:hAnsiTheme="minorHAnsi" w:cstheme="minorHAnsi"/>
              </w:rPr>
              <w:t>+ troškovnom modelu koje je HAKOM ažurirao?</w:t>
            </w:r>
            <w:r w:rsidR="00D0076F" w:rsidRPr="00CE310D">
              <w:rPr>
                <w:rFonts w:asciiTheme="minorHAnsi" w:hAnsiTheme="minorHAnsi" w:cstheme="minorHAnsi"/>
                <w:b/>
                <w:bCs/>
                <w:sz w:val="20"/>
                <w:szCs w:val="20"/>
              </w:rPr>
              <w:t xml:space="preserve"> </w:t>
            </w:r>
          </w:p>
        </w:tc>
      </w:tr>
      <w:tr w:rsidR="007D6633" w:rsidRPr="00CE310D" w14:paraId="79A3EE9D" w14:textId="77777777" w:rsidTr="00D374AD">
        <w:tc>
          <w:tcPr>
            <w:tcW w:w="215"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70AB7F3" w14:textId="77777777" w:rsidR="007D6633" w:rsidRPr="00CE310D" w:rsidRDefault="007D6633" w:rsidP="00F737D6">
            <w:pPr>
              <w:rPr>
                <w:rFonts w:asciiTheme="minorHAnsi" w:hAnsiTheme="minorHAnsi" w:cstheme="minorHAnsi"/>
                <w:b/>
                <w:bCs/>
                <w:sz w:val="20"/>
                <w:szCs w:val="20"/>
              </w:rPr>
            </w:pPr>
            <w:r w:rsidRPr="00CE310D">
              <w:rPr>
                <w:rFonts w:asciiTheme="minorHAnsi" w:hAnsiTheme="minorHAnsi" w:cstheme="minorHAnsi"/>
                <w:b/>
                <w:bCs/>
                <w:sz w:val="20"/>
                <w:szCs w:val="20"/>
              </w:rPr>
              <w:t>Br.</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13FBBE5" w14:textId="77777777" w:rsidR="007D6633" w:rsidRPr="00CE310D" w:rsidRDefault="007D6633" w:rsidP="00F737D6">
            <w:pPr>
              <w:rPr>
                <w:rFonts w:asciiTheme="minorHAnsi" w:hAnsiTheme="minorHAnsi" w:cstheme="minorHAnsi"/>
                <w:b/>
                <w:bCs/>
                <w:sz w:val="20"/>
                <w:szCs w:val="20"/>
              </w:rPr>
            </w:pPr>
            <w:r w:rsidRPr="00CE310D">
              <w:rPr>
                <w:rFonts w:asciiTheme="minorHAnsi" w:hAnsiTheme="minorHAnsi" w:cstheme="minorHAnsi"/>
                <w:b/>
                <w:bCs/>
                <w:sz w:val="20"/>
                <w:szCs w:val="20"/>
              </w:rPr>
              <w:t>Autor</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5181921" w14:textId="77777777" w:rsidR="007D6633" w:rsidRPr="00CE310D" w:rsidRDefault="007D6633" w:rsidP="00F737D6">
            <w:pPr>
              <w:rPr>
                <w:rFonts w:asciiTheme="minorHAnsi" w:hAnsiTheme="minorHAnsi" w:cstheme="minorHAnsi"/>
                <w:b/>
                <w:bCs/>
                <w:sz w:val="20"/>
                <w:szCs w:val="20"/>
              </w:rPr>
            </w:pPr>
            <w:r w:rsidRPr="00CE310D">
              <w:rPr>
                <w:rFonts w:asciiTheme="minorHAnsi" w:hAnsiTheme="minorHAnsi" w:cstheme="minorHAnsi"/>
                <w:b/>
                <w:bCs/>
                <w:sz w:val="20"/>
                <w:szCs w:val="20"/>
              </w:rPr>
              <w:t>Komentar</w:t>
            </w:r>
          </w:p>
        </w:tc>
        <w:tc>
          <w:tcPr>
            <w:tcW w:w="1936" w:type="pct"/>
            <w:tcBorders>
              <w:top w:val="single" w:sz="6" w:space="0" w:color="CCCCCC"/>
              <w:left w:val="single" w:sz="6" w:space="0" w:color="CCCCCC"/>
              <w:bottom w:val="single" w:sz="6" w:space="0" w:color="CCCCCC"/>
              <w:right w:val="single" w:sz="6" w:space="0" w:color="CCCCCC"/>
            </w:tcBorders>
          </w:tcPr>
          <w:p w14:paraId="3888F821" w14:textId="77777777" w:rsidR="007D6633" w:rsidRPr="00CE310D" w:rsidRDefault="007D6633" w:rsidP="00F737D6">
            <w:pPr>
              <w:ind w:left="39"/>
              <w:rPr>
                <w:rFonts w:asciiTheme="minorHAnsi" w:hAnsiTheme="minorHAnsi" w:cstheme="minorHAnsi"/>
                <w:b/>
                <w:bCs/>
                <w:sz w:val="20"/>
                <w:szCs w:val="20"/>
              </w:rPr>
            </w:pPr>
            <w:r w:rsidRPr="00CE310D">
              <w:rPr>
                <w:rFonts w:asciiTheme="minorHAnsi" w:hAnsiTheme="minorHAnsi" w:cstheme="minorHAnsi"/>
                <w:b/>
                <w:bCs/>
                <w:sz w:val="20"/>
                <w:szCs w:val="20"/>
              </w:rPr>
              <w:t>Odgovor</w:t>
            </w:r>
          </w:p>
        </w:tc>
      </w:tr>
      <w:tr w:rsidR="007D6633" w:rsidRPr="00CE310D" w14:paraId="5700F8F1"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2105FB11" w14:textId="77777777" w:rsidR="007D6633" w:rsidRPr="00CE310D" w:rsidRDefault="007D6633" w:rsidP="00F737D6">
            <w:pPr>
              <w:rPr>
                <w:rFonts w:asciiTheme="minorHAnsi" w:hAnsiTheme="minorHAnsi" w:cstheme="minorHAnsi"/>
                <w:sz w:val="20"/>
                <w:szCs w:val="20"/>
              </w:rPr>
            </w:pPr>
            <w:r w:rsidRPr="00CE310D">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D7D82BB" w14:textId="6D0916E6" w:rsidR="007D6633" w:rsidRPr="00CE310D" w:rsidRDefault="008707ED" w:rsidP="00BE7C23">
            <w:pPr>
              <w:rPr>
                <w:rFonts w:asciiTheme="minorHAnsi" w:hAnsiTheme="minorHAnsi" w:cstheme="minorHAnsi"/>
                <w:sz w:val="20"/>
                <w:szCs w:val="20"/>
              </w:rPr>
            </w:pPr>
            <w:r w:rsidRPr="00CE310D">
              <w:rPr>
                <w:rFonts w:asciiTheme="minorHAnsi" w:hAnsiTheme="minorHAnsi" w:cstheme="minorHAnsi"/>
                <w:sz w:val="20"/>
                <w:szCs w:val="20"/>
              </w:rPr>
              <w:t>HT</w:t>
            </w:r>
            <w:r w:rsidR="00BE7C23" w:rsidRPr="00CE310D">
              <w:rPr>
                <w:rFonts w:asciiTheme="minorHAnsi" w:hAnsiTheme="minorHAnsi" w:cstheme="minorHAnsi"/>
                <w:sz w:val="20"/>
                <w:szCs w:val="20"/>
              </w:rPr>
              <w:t xml:space="preserve">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2436D16" w14:textId="662154A0" w:rsidR="008D6E99" w:rsidRPr="00CE310D" w:rsidRDefault="008D6E99" w:rsidP="008D6E99">
            <w:pPr>
              <w:jc w:val="both"/>
              <w:rPr>
                <w:rFonts w:asciiTheme="minorHAnsi" w:hAnsiTheme="minorHAnsi" w:cstheme="minorHAnsi"/>
                <w:sz w:val="20"/>
                <w:szCs w:val="20"/>
              </w:rPr>
            </w:pPr>
            <w:r w:rsidRPr="00CE310D">
              <w:rPr>
                <w:rFonts w:asciiTheme="minorHAnsi" w:hAnsiTheme="minorHAnsi" w:cstheme="minorHAnsi"/>
                <w:sz w:val="20"/>
                <w:szCs w:val="20"/>
              </w:rPr>
              <w:t xml:space="preserve">HT izražava svoje neslaganje s prijedlogom vezanim za dio opsega ulaznih podataka i parametara u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troškovnom</w:t>
            </w:r>
            <w:r w:rsidR="00507EC7" w:rsidRPr="00CE310D">
              <w:rPr>
                <w:rFonts w:asciiTheme="minorHAnsi" w:hAnsiTheme="minorHAnsi" w:cstheme="minorHAnsi"/>
                <w:sz w:val="20"/>
                <w:szCs w:val="20"/>
              </w:rPr>
              <w:t xml:space="preserve"> modelu koje</w:t>
            </w:r>
            <w:r w:rsidRPr="00CE310D">
              <w:rPr>
                <w:rFonts w:asciiTheme="minorHAnsi" w:hAnsiTheme="minorHAnsi" w:cstheme="minorHAnsi"/>
                <w:sz w:val="20"/>
                <w:szCs w:val="20"/>
              </w:rPr>
              <w:t xml:space="preserve"> je HAKOM</w:t>
            </w:r>
            <w:r w:rsidR="00507EC7" w:rsidRPr="00CE310D">
              <w:rPr>
                <w:rFonts w:asciiTheme="minorHAnsi" w:hAnsiTheme="minorHAnsi" w:cstheme="minorHAnsi"/>
                <w:sz w:val="20"/>
                <w:szCs w:val="20"/>
              </w:rPr>
              <w:t xml:space="preserve"> ažurirao</w:t>
            </w:r>
            <w:r w:rsidRPr="00CE310D">
              <w:rPr>
                <w:rFonts w:asciiTheme="minorHAnsi" w:hAnsiTheme="minorHAnsi" w:cstheme="minorHAnsi"/>
                <w:sz w:val="20"/>
                <w:szCs w:val="20"/>
              </w:rPr>
              <w:t xml:space="preserve"> te u nastavku iznosi detaljnije komentare. Naime, HT ističe kako je važno istaknuti da dio parametara koji značajno utječu na konačni iznos troška nisu bili ažurirani, što rezultira nepotpunim i netočnim izračunom troška te onemogućuje povrat stvarnih troškova. Konkretne primjere parametara koji nisu ažurirani a koji značajno utječu na konačni iznos troška, HT navodi u nastavku:</w:t>
            </w:r>
          </w:p>
          <w:p w14:paraId="2FBCC7AD" w14:textId="77777777" w:rsidR="008D6E99" w:rsidRPr="00CE310D" w:rsidRDefault="008D6E99" w:rsidP="008D6E99">
            <w:pPr>
              <w:jc w:val="both"/>
              <w:rPr>
                <w:rFonts w:asciiTheme="minorHAnsi" w:hAnsiTheme="minorHAnsi" w:cstheme="minorHAnsi"/>
                <w:sz w:val="20"/>
                <w:szCs w:val="20"/>
              </w:rPr>
            </w:pPr>
          </w:p>
          <w:p w14:paraId="7844F3CA" w14:textId="77777777" w:rsidR="008D6E99" w:rsidRPr="00CE310D" w:rsidRDefault="008D6E99" w:rsidP="008D6E99">
            <w:pPr>
              <w:pStyle w:val="ListParagraph"/>
              <w:numPr>
                <w:ilvl w:val="0"/>
                <w:numId w:val="9"/>
              </w:numPr>
              <w:rPr>
                <w:rFonts w:asciiTheme="minorHAnsi" w:hAnsiTheme="minorHAnsi" w:cstheme="minorHAnsi"/>
                <w:sz w:val="20"/>
                <w:szCs w:val="20"/>
              </w:rPr>
            </w:pPr>
            <w:r w:rsidRPr="00CE310D">
              <w:rPr>
                <w:rFonts w:asciiTheme="minorHAnsi" w:hAnsiTheme="minorHAnsi" w:cstheme="minorHAnsi"/>
                <w:sz w:val="20"/>
                <w:szCs w:val="20"/>
              </w:rPr>
              <w:t>Parametri „</w:t>
            </w:r>
            <w:proofErr w:type="spellStart"/>
            <w:r w:rsidRPr="00CE310D">
              <w:rPr>
                <w:rFonts w:asciiTheme="minorHAnsi" w:hAnsiTheme="minorHAnsi" w:cstheme="minorHAnsi"/>
                <w:sz w:val="20"/>
                <w:szCs w:val="20"/>
              </w:rPr>
              <w:t>Number</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hubs</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employed</w:t>
            </w:r>
            <w:proofErr w:type="spellEnd"/>
            <w:r w:rsidRPr="00CE310D">
              <w:rPr>
                <w:rFonts w:asciiTheme="minorHAnsi" w:hAnsiTheme="minorHAnsi" w:cstheme="minorHAnsi"/>
                <w:sz w:val="20"/>
                <w:szCs w:val="20"/>
              </w:rPr>
              <w:t xml:space="preserve">“ </w:t>
            </w:r>
          </w:p>
          <w:p w14:paraId="08497237" w14:textId="77777777" w:rsidR="008D6E99" w:rsidRPr="00CE310D" w:rsidRDefault="008D6E99" w:rsidP="008D6E99">
            <w:pPr>
              <w:pStyle w:val="ListParagraph"/>
              <w:jc w:val="both"/>
              <w:rPr>
                <w:rFonts w:asciiTheme="minorHAnsi" w:hAnsiTheme="minorHAnsi" w:cstheme="minorHAnsi"/>
                <w:sz w:val="20"/>
                <w:szCs w:val="20"/>
              </w:rPr>
            </w:pPr>
          </w:p>
          <w:p w14:paraId="04AF55C4" w14:textId="2F1DC291" w:rsidR="008D6E99" w:rsidRPr="00CE310D" w:rsidRDefault="008D6E99" w:rsidP="008D6E99">
            <w:pPr>
              <w:jc w:val="both"/>
              <w:rPr>
                <w:rFonts w:asciiTheme="minorHAnsi" w:hAnsiTheme="minorHAnsi" w:cstheme="minorHAnsi"/>
                <w:sz w:val="20"/>
                <w:szCs w:val="20"/>
              </w:rPr>
            </w:pPr>
            <w:r w:rsidRPr="00CE310D">
              <w:rPr>
                <w:rFonts w:asciiTheme="minorHAnsi" w:hAnsiTheme="minorHAnsi" w:cstheme="minorHAnsi"/>
                <w:sz w:val="20"/>
                <w:szCs w:val="20"/>
              </w:rPr>
              <w:t>HT ističe da parametri „</w:t>
            </w:r>
            <w:proofErr w:type="spellStart"/>
            <w:r w:rsidRPr="00CE310D">
              <w:rPr>
                <w:rFonts w:asciiTheme="minorHAnsi" w:hAnsiTheme="minorHAnsi" w:cstheme="minorHAnsi"/>
                <w:sz w:val="20"/>
                <w:szCs w:val="20"/>
              </w:rPr>
              <w:t>Number</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hubs</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employed</w:t>
            </w:r>
            <w:proofErr w:type="spellEnd"/>
            <w:r w:rsidRPr="00CE310D">
              <w:rPr>
                <w:rFonts w:asciiTheme="minorHAnsi" w:hAnsiTheme="minorHAnsi" w:cstheme="minorHAnsi"/>
                <w:sz w:val="20"/>
                <w:szCs w:val="20"/>
              </w:rPr>
              <w:t>" nisu bili ažurirani u ažuriranom modelu. Naime, HT navodi da je to posebno problematično je</w:t>
            </w:r>
            <w:r w:rsidR="00F87506" w:rsidRPr="00CE310D">
              <w:rPr>
                <w:rFonts w:asciiTheme="minorHAnsi" w:hAnsiTheme="minorHAnsi" w:cstheme="minorHAnsi"/>
                <w:sz w:val="20"/>
                <w:szCs w:val="20"/>
              </w:rPr>
              <w:t xml:space="preserve">r trošak maloprodajnog pristupa </w:t>
            </w:r>
            <w:r w:rsidRPr="00CE310D">
              <w:rPr>
                <w:rFonts w:asciiTheme="minorHAnsi" w:hAnsiTheme="minorHAnsi" w:cstheme="minorHAnsi"/>
                <w:sz w:val="20"/>
                <w:szCs w:val="20"/>
              </w:rPr>
              <w:t xml:space="preserve">Internetu u </w:t>
            </w:r>
            <w:proofErr w:type="spellStart"/>
            <w:r w:rsidRPr="00CE310D">
              <w:rPr>
                <w:rFonts w:asciiTheme="minorHAnsi" w:hAnsiTheme="minorHAnsi" w:cstheme="minorHAnsi"/>
                <w:sz w:val="20"/>
                <w:szCs w:val="20"/>
              </w:rPr>
              <w:t>jezgrenoj</w:t>
            </w:r>
            <w:proofErr w:type="spellEnd"/>
            <w:r w:rsidRPr="00CE310D">
              <w:rPr>
                <w:rFonts w:asciiTheme="minorHAnsi" w:hAnsiTheme="minorHAnsi" w:cstheme="minorHAnsi"/>
                <w:sz w:val="20"/>
                <w:szCs w:val="20"/>
              </w:rPr>
              <w:t xml:space="preserve"> mreži neopravdano značajno premašuje trošak veleprodajnog pristupa Internetu. Stoga, HT </w:t>
            </w:r>
            <w:r w:rsidR="00A7582F" w:rsidRPr="00CE310D">
              <w:rPr>
                <w:rFonts w:asciiTheme="minorHAnsi" w:hAnsiTheme="minorHAnsi" w:cstheme="minorHAnsi"/>
                <w:sz w:val="20"/>
                <w:szCs w:val="20"/>
              </w:rPr>
              <w:t xml:space="preserve">ističe </w:t>
            </w:r>
            <w:r w:rsidRPr="00CE310D">
              <w:rPr>
                <w:rFonts w:asciiTheme="minorHAnsi" w:hAnsiTheme="minorHAnsi" w:cstheme="minorHAnsi"/>
                <w:sz w:val="20"/>
                <w:szCs w:val="20"/>
              </w:rPr>
              <w:t xml:space="preserve">da </w:t>
            </w:r>
            <w:r w:rsidR="00A7582F" w:rsidRPr="00CE310D">
              <w:rPr>
                <w:rFonts w:asciiTheme="minorHAnsi" w:hAnsiTheme="minorHAnsi" w:cstheme="minorHAnsi"/>
                <w:sz w:val="20"/>
                <w:szCs w:val="20"/>
              </w:rPr>
              <w:t xml:space="preserve">je </w:t>
            </w:r>
            <w:r w:rsidRPr="00CE310D">
              <w:rPr>
                <w:rFonts w:asciiTheme="minorHAnsi" w:hAnsiTheme="minorHAnsi" w:cstheme="minorHAnsi"/>
                <w:sz w:val="20"/>
                <w:szCs w:val="20"/>
              </w:rPr>
              <w:t>navedena razlika u troškovima direktna posljedica pogrešnih vrijednosti i neprecizne primjene parametara "</w:t>
            </w:r>
            <w:proofErr w:type="spellStart"/>
            <w:r w:rsidRPr="00CE310D">
              <w:rPr>
                <w:rFonts w:asciiTheme="minorHAnsi" w:hAnsiTheme="minorHAnsi" w:cstheme="minorHAnsi"/>
                <w:sz w:val="20"/>
                <w:szCs w:val="20"/>
              </w:rPr>
              <w:t>Number</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hubs</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employed</w:t>
            </w:r>
            <w:proofErr w:type="spellEnd"/>
            <w:r w:rsidRPr="00CE310D">
              <w:rPr>
                <w:rFonts w:asciiTheme="minorHAnsi" w:hAnsiTheme="minorHAnsi" w:cstheme="minorHAnsi"/>
                <w:sz w:val="20"/>
                <w:szCs w:val="20"/>
              </w:rPr>
              <w:t xml:space="preserve">" u modelu. HT navodi da je prilikom analize važećeg </w:t>
            </w:r>
            <w:proofErr w:type="spellStart"/>
            <w:r w:rsidRPr="00CE310D">
              <w:rPr>
                <w:rFonts w:asciiTheme="minorHAnsi" w:hAnsiTheme="minorHAnsi" w:cstheme="minorHAnsi"/>
                <w:sz w:val="20"/>
                <w:szCs w:val="20"/>
              </w:rPr>
              <w:t>SEO</w:t>
            </w:r>
            <w:proofErr w:type="spellEnd"/>
            <w:r w:rsidRPr="00CE310D">
              <w:rPr>
                <w:rFonts w:asciiTheme="minorHAnsi" w:hAnsiTheme="minorHAnsi" w:cstheme="minorHAnsi"/>
                <w:sz w:val="20"/>
                <w:szCs w:val="20"/>
              </w:rPr>
              <w:t xml:space="preserve"> modela detaljno objasnio razlike između maloprodajnog i veleprodajnog pristupa Internetu – dvije usluge se razlikuju samo na razini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uređaja. </w:t>
            </w:r>
            <w:r w:rsidR="00A7582F" w:rsidRPr="00CE310D">
              <w:rPr>
                <w:rFonts w:asciiTheme="minorHAnsi" w:hAnsiTheme="minorHAnsi" w:cstheme="minorHAnsi"/>
                <w:sz w:val="20"/>
                <w:szCs w:val="20"/>
              </w:rPr>
              <w:t>Nadalje</w:t>
            </w:r>
            <w:r w:rsidRPr="00CE310D">
              <w:rPr>
                <w:rFonts w:asciiTheme="minorHAnsi" w:hAnsiTheme="minorHAnsi" w:cstheme="minorHAnsi"/>
                <w:sz w:val="20"/>
                <w:szCs w:val="20"/>
              </w:rPr>
              <w:t xml:space="preserve">, HT ističe da je prilikom prikupljanja podataka za potrebe ažuriranja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troškovnog modela dostavio shemu mreže iz koje je navedeno razvidno</w:t>
            </w:r>
            <w:r w:rsidR="00A7582F" w:rsidRPr="00CE310D">
              <w:rPr>
                <w:rFonts w:asciiTheme="minorHAnsi" w:hAnsiTheme="minorHAnsi" w:cstheme="minorHAnsi"/>
                <w:sz w:val="20"/>
                <w:szCs w:val="20"/>
              </w:rPr>
              <w:t>,</w:t>
            </w:r>
            <w:r w:rsidRPr="00CE310D">
              <w:rPr>
                <w:rFonts w:asciiTheme="minorHAnsi" w:hAnsiTheme="minorHAnsi" w:cstheme="minorHAnsi"/>
                <w:sz w:val="20"/>
                <w:szCs w:val="20"/>
              </w:rPr>
              <w:t xml:space="preserve"> a i dodatno dostav</w:t>
            </w:r>
            <w:r w:rsidR="00A7582F" w:rsidRPr="00CE310D">
              <w:rPr>
                <w:rFonts w:asciiTheme="minorHAnsi" w:hAnsiTheme="minorHAnsi" w:cstheme="minorHAnsi"/>
                <w:sz w:val="20"/>
                <w:szCs w:val="20"/>
              </w:rPr>
              <w:t>i</w:t>
            </w:r>
            <w:r w:rsidRPr="00CE310D">
              <w:rPr>
                <w:rFonts w:asciiTheme="minorHAnsi" w:hAnsiTheme="minorHAnsi" w:cstheme="minorHAnsi"/>
                <w:sz w:val="20"/>
                <w:szCs w:val="20"/>
              </w:rPr>
              <w:t>o obrazloženje predmetne problematike, što je potrebno nužno razmotriti kako bi se osigurala ispravna i točna primjena parametara u modelu.</w:t>
            </w:r>
          </w:p>
          <w:p w14:paraId="5579F301" w14:textId="77777777" w:rsidR="008D6E99" w:rsidRPr="00CE310D" w:rsidRDefault="008D6E99" w:rsidP="008D6E99">
            <w:pPr>
              <w:jc w:val="both"/>
              <w:rPr>
                <w:rFonts w:asciiTheme="minorHAnsi" w:hAnsiTheme="minorHAnsi" w:cstheme="minorHAnsi"/>
                <w:sz w:val="20"/>
                <w:szCs w:val="20"/>
              </w:rPr>
            </w:pPr>
          </w:p>
          <w:p w14:paraId="426C4D0C" w14:textId="77777777" w:rsidR="008D6E99" w:rsidRPr="00CE310D" w:rsidRDefault="008D6E99" w:rsidP="008D6E99">
            <w:pPr>
              <w:pStyle w:val="ListParagraph"/>
              <w:numPr>
                <w:ilvl w:val="0"/>
                <w:numId w:val="9"/>
              </w:numPr>
              <w:rPr>
                <w:rFonts w:asciiTheme="minorHAnsi" w:hAnsiTheme="minorHAnsi" w:cstheme="minorHAnsi"/>
                <w:sz w:val="20"/>
                <w:szCs w:val="20"/>
              </w:rPr>
            </w:pPr>
            <w:r w:rsidRPr="00CE310D">
              <w:rPr>
                <w:rFonts w:asciiTheme="minorHAnsi" w:hAnsiTheme="minorHAnsi" w:cstheme="minorHAnsi"/>
                <w:sz w:val="20"/>
                <w:szCs w:val="20"/>
              </w:rPr>
              <w:t>Parametri „</w:t>
            </w:r>
            <w:proofErr w:type="spellStart"/>
            <w:r w:rsidRPr="00CE310D">
              <w:rPr>
                <w:rFonts w:asciiTheme="minorHAnsi" w:hAnsiTheme="minorHAnsi" w:cstheme="minorHAnsi"/>
                <w:sz w:val="20"/>
                <w:szCs w:val="20"/>
              </w:rPr>
              <w:t>USEFUL</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LIVES</w:t>
            </w:r>
            <w:proofErr w:type="spellEnd"/>
            <w:r w:rsidRPr="00CE310D">
              <w:rPr>
                <w:rFonts w:asciiTheme="minorHAnsi" w:hAnsiTheme="minorHAnsi" w:cstheme="minorHAnsi"/>
                <w:sz w:val="20"/>
                <w:szCs w:val="20"/>
              </w:rPr>
              <w:t>“ za rovove s cijevima</w:t>
            </w:r>
          </w:p>
          <w:p w14:paraId="4FD49D79" w14:textId="77777777" w:rsidR="008D6E99" w:rsidRPr="00CE310D" w:rsidRDefault="008D6E99" w:rsidP="008D6E99">
            <w:pPr>
              <w:pStyle w:val="ListParagraph"/>
              <w:jc w:val="both"/>
              <w:rPr>
                <w:rFonts w:asciiTheme="minorHAnsi" w:hAnsiTheme="minorHAnsi" w:cstheme="minorHAnsi"/>
                <w:sz w:val="20"/>
                <w:szCs w:val="20"/>
              </w:rPr>
            </w:pPr>
          </w:p>
          <w:p w14:paraId="2AAA1C2D" w14:textId="19E63F15" w:rsidR="008D6E99" w:rsidRPr="00CE310D" w:rsidRDefault="008D6E99" w:rsidP="008D6E99">
            <w:pPr>
              <w:jc w:val="both"/>
              <w:rPr>
                <w:rFonts w:asciiTheme="minorHAnsi" w:hAnsiTheme="minorHAnsi" w:cstheme="minorHAnsi"/>
                <w:sz w:val="20"/>
                <w:szCs w:val="20"/>
              </w:rPr>
            </w:pPr>
            <w:r w:rsidRPr="00CE310D">
              <w:rPr>
                <w:rFonts w:asciiTheme="minorHAnsi" w:hAnsiTheme="minorHAnsi" w:cstheme="minorHAnsi"/>
                <w:sz w:val="20"/>
                <w:szCs w:val="20"/>
              </w:rPr>
              <w:t>HT ističe da parametri "</w:t>
            </w:r>
            <w:proofErr w:type="spellStart"/>
            <w:r w:rsidRPr="00CE310D">
              <w:rPr>
                <w:rFonts w:asciiTheme="minorHAnsi" w:hAnsiTheme="minorHAnsi" w:cstheme="minorHAnsi"/>
                <w:sz w:val="20"/>
                <w:szCs w:val="20"/>
              </w:rPr>
              <w:t>USEFUL</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LIVES</w:t>
            </w:r>
            <w:proofErr w:type="spellEnd"/>
            <w:r w:rsidRPr="00CE310D">
              <w:rPr>
                <w:rFonts w:asciiTheme="minorHAnsi" w:hAnsiTheme="minorHAnsi" w:cstheme="minorHAnsi"/>
                <w:sz w:val="20"/>
                <w:szCs w:val="20"/>
              </w:rPr>
              <w:t>" za rovove s cijevima nisu ažurirani u</w:t>
            </w:r>
            <w:r w:rsidR="00F87506" w:rsidRPr="00CE310D">
              <w:rPr>
                <w:rFonts w:asciiTheme="minorHAnsi" w:hAnsiTheme="minorHAnsi" w:cstheme="minorHAnsi"/>
                <w:sz w:val="20"/>
                <w:szCs w:val="20"/>
              </w:rPr>
              <w:t xml:space="preserve"> troškovnom</w:t>
            </w:r>
            <w:r w:rsidRPr="00CE310D">
              <w:rPr>
                <w:rFonts w:asciiTheme="minorHAnsi" w:hAnsiTheme="minorHAnsi" w:cstheme="minorHAnsi"/>
                <w:sz w:val="20"/>
                <w:szCs w:val="20"/>
              </w:rPr>
              <w:t xml:space="preserve"> modelu, iako je bilo potrebno to učiniti kako bi se uskladile vrijednosti u različitim dijelovima modela i popratnim izračunima parametara. HT navodi da nedostatak ažuriranja ovih parametara dovodi do netočnih rezultata u izračunu troškova, što je neprihvatljivo u kontekstu transparentnog i pravednog procesa određivanja veleprodajnih cijena.</w:t>
            </w:r>
          </w:p>
          <w:p w14:paraId="5B07AF6E" w14:textId="77777777" w:rsidR="008D6E99" w:rsidRPr="00CE310D" w:rsidRDefault="008D6E99" w:rsidP="008D6E99">
            <w:pPr>
              <w:pStyle w:val="ListParagraph"/>
              <w:numPr>
                <w:ilvl w:val="0"/>
                <w:numId w:val="9"/>
              </w:numPr>
              <w:rPr>
                <w:rFonts w:asciiTheme="minorHAnsi" w:hAnsiTheme="minorHAnsi" w:cstheme="minorHAnsi"/>
                <w:sz w:val="20"/>
                <w:szCs w:val="20"/>
              </w:rPr>
            </w:pPr>
            <w:r w:rsidRPr="00CE310D">
              <w:rPr>
                <w:rFonts w:asciiTheme="minorHAnsi" w:hAnsiTheme="minorHAnsi" w:cstheme="minorHAnsi"/>
                <w:sz w:val="20"/>
                <w:szCs w:val="20"/>
              </w:rPr>
              <w:t>Parametar ili pretpostavka  „</w:t>
            </w:r>
            <w:r w:rsidRPr="00CE310D">
              <w:rPr>
                <w:rFonts w:asciiTheme="minorHAnsi" w:hAnsiTheme="minorHAnsi" w:cstheme="minorHAnsi"/>
                <w:i/>
                <w:sz w:val="20"/>
                <w:szCs w:val="20"/>
              </w:rPr>
              <w:t xml:space="preserve">Take </w:t>
            </w:r>
            <w:proofErr w:type="spellStart"/>
            <w:r w:rsidRPr="00CE310D">
              <w:rPr>
                <w:rFonts w:asciiTheme="minorHAnsi" w:hAnsiTheme="minorHAnsi" w:cstheme="minorHAnsi"/>
                <w:i/>
                <w:sz w:val="20"/>
                <w:szCs w:val="20"/>
              </w:rPr>
              <w:t>up</w:t>
            </w:r>
            <w:proofErr w:type="spellEnd"/>
            <w:r w:rsidRPr="00CE310D">
              <w:rPr>
                <w:rFonts w:asciiTheme="minorHAnsi" w:hAnsiTheme="minorHAnsi" w:cstheme="minorHAnsi"/>
                <w:sz w:val="20"/>
                <w:szCs w:val="20"/>
              </w:rPr>
              <w:t>“ za pristupnu optičku mrežu</w:t>
            </w:r>
          </w:p>
          <w:p w14:paraId="50E1FAEF" w14:textId="77777777" w:rsidR="008D6E99" w:rsidRPr="00CE310D" w:rsidRDefault="008D6E99" w:rsidP="008D6E99">
            <w:pPr>
              <w:pStyle w:val="ListParagraph"/>
              <w:jc w:val="both"/>
              <w:rPr>
                <w:rFonts w:asciiTheme="minorHAnsi" w:hAnsiTheme="minorHAnsi" w:cstheme="minorHAnsi"/>
                <w:sz w:val="20"/>
                <w:szCs w:val="20"/>
              </w:rPr>
            </w:pPr>
          </w:p>
          <w:p w14:paraId="735E916A" w14:textId="23BDEE26" w:rsidR="007D6633" w:rsidRPr="00CE310D" w:rsidRDefault="008D6E99" w:rsidP="00F737D6">
            <w:pPr>
              <w:jc w:val="both"/>
              <w:rPr>
                <w:rFonts w:asciiTheme="minorHAnsi" w:hAnsiTheme="minorHAnsi" w:cstheme="minorHAnsi"/>
                <w:sz w:val="20"/>
                <w:szCs w:val="20"/>
              </w:rPr>
            </w:pPr>
            <w:r w:rsidRPr="00CE310D">
              <w:rPr>
                <w:rFonts w:asciiTheme="minorHAnsi" w:hAnsiTheme="minorHAnsi" w:cstheme="minorHAnsi"/>
                <w:sz w:val="20"/>
                <w:szCs w:val="20"/>
              </w:rPr>
              <w:t xml:space="preserve">HT ističe da parametar ili pretpostavka "Take </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nije ažuriran u</w:t>
            </w:r>
            <w:r w:rsidR="00CF44C1" w:rsidRPr="00CE310D">
              <w:rPr>
                <w:rFonts w:asciiTheme="minorHAnsi" w:hAnsiTheme="minorHAnsi" w:cstheme="minorHAnsi"/>
                <w:sz w:val="20"/>
                <w:szCs w:val="20"/>
              </w:rPr>
              <w:t xml:space="preserve"> troškovnom</w:t>
            </w:r>
            <w:r w:rsidRPr="00CE310D">
              <w:rPr>
                <w:rFonts w:asciiTheme="minorHAnsi" w:hAnsiTheme="minorHAnsi" w:cstheme="minorHAnsi"/>
                <w:sz w:val="20"/>
                <w:szCs w:val="20"/>
              </w:rPr>
              <w:t xml:space="preserve"> modelu, iako su se pojavili realni trendovi izgradnje i korištenja HT pristupne optičke mreže koji pokazuju da je prethodna pretpostavka HAKOM-a u važećem</w:t>
            </w:r>
            <w:r w:rsidR="00CF44C1" w:rsidRPr="00CE310D">
              <w:rPr>
                <w:rFonts w:asciiTheme="minorHAnsi" w:hAnsiTheme="minorHAnsi" w:cstheme="minorHAnsi"/>
                <w:sz w:val="20"/>
                <w:szCs w:val="20"/>
              </w:rPr>
              <w:t xml:space="preserve"> troškovnom</w:t>
            </w:r>
            <w:r w:rsidRPr="00CE310D">
              <w:rPr>
                <w:rFonts w:asciiTheme="minorHAnsi" w:hAnsiTheme="minorHAnsi" w:cstheme="minorHAnsi"/>
                <w:sz w:val="20"/>
                <w:szCs w:val="20"/>
              </w:rPr>
              <w:t xml:space="preserve"> modelu bila netočna. HT navodi da</w:t>
            </w:r>
            <w:r w:rsidR="00CF44C1" w:rsidRPr="00CE310D">
              <w:rPr>
                <w:rFonts w:asciiTheme="minorHAnsi" w:hAnsiTheme="minorHAnsi" w:cstheme="minorHAnsi"/>
                <w:sz w:val="20"/>
                <w:szCs w:val="20"/>
              </w:rPr>
              <w:t xml:space="preserve"> je</w:t>
            </w:r>
            <w:r w:rsidRPr="00CE310D">
              <w:rPr>
                <w:rFonts w:asciiTheme="minorHAnsi" w:hAnsiTheme="minorHAnsi" w:cstheme="minorHAnsi"/>
                <w:sz w:val="20"/>
                <w:szCs w:val="20"/>
              </w:rPr>
              <w:t xml:space="preserve"> detaljniji osvrt na ovu toč</w:t>
            </w:r>
            <w:r w:rsidR="00CF44C1" w:rsidRPr="00CE310D">
              <w:rPr>
                <w:rFonts w:asciiTheme="minorHAnsi" w:hAnsiTheme="minorHAnsi" w:cstheme="minorHAnsi"/>
                <w:sz w:val="20"/>
                <w:szCs w:val="20"/>
              </w:rPr>
              <w:t>ku dostavljen</w:t>
            </w:r>
            <w:r w:rsidRPr="00CE310D">
              <w:rPr>
                <w:rFonts w:asciiTheme="minorHAnsi" w:hAnsiTheme="minorHAnsi" w:cstheme="minorHAnsi"/>
                <w:sz w:val="20"/>
                <w:szCs w:val="20"/>
              </w:rPr>
              <w:t xml:space="preserve"> u Odgovoru na pitanje 2.</w:t>
            </w:r>
          </w:p>
          <w:p w14:paraId="54A43DAC" w14:textId="77777777" w:rsidR="008D6E99" w:rsidRPr="00CE310D" w:rsidRDefault="008D6E99" w:rsidP="00F737D6">
            <w:pPr>
              <w:jc w:val="both"/>
              <w:rPr>
                <w:rFonts w:asciiTheme="minorHAnsi" w:hAnsiTheme="minorHAnsi" w:cstheme="minorHAnsi"/>
                <w:sz w:val="20"/>
                <w:szCs w:val="20"/>
              </w:rPr>
            </w:pPr>
          </w:p>
          <w:p w14:paraId="59AC5745" w14:textId="6C77FAF1" w:rsidR="008D6E99" w:rsidRPr="00CE310D" w:rsidRDefault="008D6E99" w:rsidP="008D6E99">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 xml:space="preserve">Parametar smanjenja jediničnih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troškova za imovinu bakrene mreže u budućem razdoblju</w:t>
            </w:r>
          </w:p>
          <w:p w14:paraId="439CE77B" w14:textId="77777777" w:rsidR="008D6E99" w:rsidRPr="00CE310D" w:rsidRDefault="008D6E99" w:rsidP="008D6E99">
            <w:pPr>
              <w:jc w:val="both"/>
              <w:rPr>
                <w:rFonts w:asciiTheme="minorHAnsi" w:hAnsiTheme="minorHAnsi" w:cstheme="minorHAnsi"/>
                <w:sz w:val="20"/>
                <w:szCs w:val="20"/>
              </w:rPr>
            </w:pPr>
          </w:p>
          <w:p w14:paraId="7569255C" w14:textId="77777777" w:rsidR="008D6E99" w:rsidRPr="00CE310D" w:rsidRDefault="008D6E99" w:rsidP="008D6E99">
            <w:pPr>
              <w:jc w:val="both"/>
              <w:rPr>
                <w:rFonts w:asciiTheme="minorHAnsi" w:hAnsiTheme="minorHAnsi" w:cstheme="minorHAnsi"/>
                <w:sz w:val="20"/>
                <w:szCs w:val="20"/>
              </w:rPr>
            </w:pPr>
            <w:r w:rsidRPr="00CE310D">
              <w:rPr>
                <w:rFonts w:asciiTheme="minorHAnsi" w:hAnsiTheme="minorHAnsi" w:cstheme="minorHAnsi"/>
                <w:sz w:val="20"/>
                <w:szCs w:val="20"/>
              </w:rPr>
              <w:t xml:space="preserve">HT ističe da HAKOM nije promijenio parametar koji omogućuje smanjenje jediničnih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troškova za imovinu bakrene mreže u budućem razdoblju, iako su stvarni podaci o visini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-a koje je dostavio HT pokazali da se ti troškovi ne smanjuju, već naprotiv, rastu.</w:t>
            </w:r>
          </w:p>
          <w:p w14:paraId="5DCB25CB" w14:textId="77777777" w:rsidR="008D6E99" w:rsidRPr="00CE310D" w:rsidRDefault="008D6E99" w:rsidP="008D6E99">
            <w:pPr>
              <w:jc w:val="both"/>
              <w:rPr>
                <w:rFonts w:asciiTheme="minorHAnsi" w:hAnsiTheme="minorHAnsi" w:cstheme="minorHAnsi"/>
                <w:sz w:val="20"/>
                <w:szCs w:val="20"/>
              </w:rPr>
            </w:pPr>
          </w:p>
          <w:p w14:paraId="12155750" w14:textId="62888C03" w:rsidR="008D6E99" w:rsidRPr="00CE310D" w:rsidRDefault="008D6E99" w:rsidP="00D374AD">
            <w:pPr>
              <w:jc w:val="both"/>
              <w:rPr>
                <w:rFonts w:asciiTheme="minorHAnsi" w:hAnsiTheme="minorHAnsi" w:cstheme="minorHAnsi"/>
                <w:sz w:val="20"/>
                <w:szCs w:val="20"/>
              </w:rPr>
            </w:pPr>
            <w:r w:rsidRPr="00CE310D">
              <w:rPr>
                <w:rFonts w:asciiTheme="minorHAnsi" w:hAnsiTheme="minorHAnsi" w:cstheme="minorHAnsi"/>
                <w:sz w:val="20"/>
                <w:szCs w:val="20"/>
              </w:rPr>
              <w:t xml:space="preserve">Dodatno, HT navodi da su ranije uočene primjedbe na druge parametre i ulazne podatke koje je HT iznio tijekom javne rasprave iz 2020. za važeći </w:t>
            </w:r>
            <w:r w:rsidR="00CF44C1" w:rsidRPr="00CE310D">
              <w:rPr>
                <w:rFonts w:asciiTheme="minorHAnsi" w:hAnsiTheme="minorHAnsi" w:cstheme="minorHAnsi"/>
                <w:sz w:val="20"/>
                <w:szCs w:val="20"/>
              </w:rPr>
              <w:t xml:space="preserve">troškovni </w:t>
            </w:r>
            <w:r w:rsidRPr="00CE310D">
              <w:rPr>
                <w:rFonts w:asciiTheme="minorHAnsi" w:hAnsiTheme="minorHAnsi" w:cstheme="minorHAnsi"/>
                <w:sz w:val="20"/>
                <w:szCs w:val="20"/>
              </w:rPr>
              <w:t xml:space="preserve">model, a koje HAKOM ovim putem nije ažurirao. Naime,  HT inzistira na nužnosti revizije i ažuriranja svih relevantnih parametara kako bi se osigurala točnost i ispravnost </w:t>
            </w:r>
            <w:r w:rsidR="00CF44C1" w:rsidRPr="00CE310D">
              <w:rPr>
                <w:rFonts w:asciiTheme="minorHAnsi" w:hAnsiTheme="minorHAnsi" w:cstheme="minorHAnsi"/>
                <w:sz w:val="20"/>
                <w:szCs w:val="20"/>
              </w:rPr>
              <w:t xml:space="preserve">troškovnog </w:t>
            </w:r>
            <w:r w:rsidRPr="00CE310D">
              <w:rPr>
                <w:rFonts w:asciiTheme="minorHAnsi" w:hAnsiTheme="minorHAnsi" w:cstheme="minorHAnsi"/>
                <w:sz w:val="20"/>
                <w:szCs w:val="20"/>
              </w:rPr>
              <w:t>modela za određivanje veleprodajnih cijena na tržištu telekomunikacija.</w:t>
            </w:r>
          </w:p>
        </w:tc>
        <w:tc>
          <w:tcPr>
            <w:tcW w:w="1936" w:type="pct"/>
            <w:tcBorders>
              <w:top w:val="single" w:sz="6" w:space="0" w:color="CCCCCC"/>
              <w:left w:val="single" w:sz="6" w:space="0" w:color="CCCCCC"/>
              <w:bottom w:val="single" w:sz="6" w:space="0" w:color="CCCCCC"/>
              <w:right w:val="single" w:sz="6" w:space="0" w:color="CCCCCC"/>
            </w:tcBorders>
          </w:tcPr>
          <w:p w14:paraId="4DA4BAA2" w14:textId="4865E77E" w:rsidR="009C1B41" w:rsidRDefault="00253DF7" w:rsidP="00F737D6">
            <w:pPr>
              <w:jc w:val="both"/>
              <w:rPr>
                <w:rFonts w:asciiTheme="minorHAnsi" w:hAnsiTheme="minorHAnsi" w:cstheme="minorHAnsi"/>
                <w:sz w:val="20"/>
                <w:szCs w:val="20"/>
              </w:rPr>
            </w:pPr>
            <w:r w:rsidRPr="00253DF7">
              <w:rPr>
                <w:rFonts w:asciiTheme="minorHAnsi" w:hAnsiTheme="minorHAnsi" w:cstheme="minorHAnsi"/>
                <w:sz w:val="20"/>
                <w:szCs w:val="20"/>
              </w:rPr>
              <w:t>Navedeni parametri</w:t>
            </w:r>
            <w:r w:rsidR="00AC7B10">
              <w:rPr>
                <w:rFonts w:asciiTheme="minorHAnsi" w:hAnsiTheme="minorHAnsi" w:cstheme="minorHAnsi"/>
                <w:sz w:val="20"/>
                <w:szCs w:val="20"/>
              </w:rPr>
              <w:t xml:space="preserve"> (</w:t>
            </w:r>
            <w:r w:rsidR="00AC7B10" w:rsidRPr="00CE310D">
              <w:rPr>
                <w:rFonts w:asciiTheme="minorHAnsi" w:hAnsiTheme="minorHAnsi" w:cstheme="minorHAnsi"/>
                <w:sz w:val="20"/>
                <w:szCs w:val="20"/>
              </w:rPr>
              <w:t>„</w:t>
            </w:r>
            <w:proofErr w:type="spellStart"/>
            <w:r w:rsidR="00AC7B10" w:rsidRPr="00CE310D">
              <w:rPr>
                <w:rFonts w:asciiTheme="minorHAnsi" w:hAnsiTheme="minorHAnsi" w:cstheme="minorHAnsi"/>
                <w:sz w:val="20"/>
                <w:szCs w:val="20"/>
              </w:rPr>
              <w:t>Number</w:t>
            </w:r>
            <w:proofErr w:type="spellEnd"/>
            <w:r w:rsidR="00AC7B10" w:rsidRPr="00CE310D">
              <w:rPr>
                <w:rFonts w:asciiTheme="minorHAnsi" w:hAnsiTheme="minorHAnsi" w:cstheme="minorHAnsi"/>
                <w:sz w:val="20"/>
                <w:szCs w:val="20"/>
              </w:rPr>
              <w:t xml:space="preserve"> </w:t>
            </w:r>
            <w:proofErr w:type="spellStart"/>
            <w:r w:rsidR="00AC7B10" w:rsidRPr="00CE310D">
              <w:rPr>
                <w:rFonts w:asciiTheme="minorHAnsi" w:hAnsiTheme="minorHAnsi" w:cstheme="minorHAnsi"/>
                <w:sz w:val="20"/>
                <w:szCs w:val="20"/>
              </w:rPr>
              <w:t>of</w:t>
            </w:r>
            <w:proofErr w:type="spellEnd"/>
            <w:r w:rsidR="00AC7B10" w:rsidRPr="00CE310D">
              <w:rPr>
                <w:rFonts w:asciiTheme="minorHAnsi" w:hAnsiTheme="minorHAnsi" w:cstheme="minorHAnsi"/>
                <w:sz w:val="20"/>
                <w:szCs w:val="20"/>
              </w:rPr>
              <w:t xml:space="preserve"> </w:t>
            </w:r>
            <w:proofErr w:type="spellStart"/>
            <w:r w:rsidR="00AC7B10" w:rsidRPr="00CE310D">
              <w:rPr>
                <w:rFonts w:asciiTheme="minorHAnsi" w:hAnsiTheme="minorHAnsi" w:cstheme="minorHAnsi"/>
                <w:sz w:val="20"/>
                <w:szCs w:val="20"/>
              </w:rPr>
              <w:t>hubs</w:t>
            </w:r>
            <w:proofErr w:type="spellEnd"/>
            <w:r w:rsidR="00AC7B10" w:rsidRPr="00CE310D">
              <w:rPr>
                <w:rFonts w:asciiTheme="minorHAnsi" w:hAnsiTheme="minorHAnsi" w:cstheme="minorHAnsi"/>
                <w:sz w:val="20"/>
                <w:szCs w:val="20"/>
              </w:rPr>
              <w:t xml:space="preserve"> </w:t>
            </w:r>
            <w:proofErr w:type="spellStart"/>
            <w:r w:rsidR="00AC7B10" w:rsidRPr="00CE310D">
              <w:rPr>
                <w:rFonts w:asciiTheme="minorHAnsi" w:hAnsiTheme="minorHAnsi" w:cstheme="minorHAnsi"/>
                <w:sz w:val="20"/>
                <w:szCs w:val="20"/>
              </w:rPr>
              <w:t>employed</w:t>
            </w:r>
            <w:proofErr w:type="spellEnd"/>
            <w:r w:rsidR="00AC7B10" w:rsidRPr="00CE310D">
              <w:rPr>
                <w:rFonts w:asciiTheme="minorHAnsi" w:hAnsiTheme="minorHAnsi" w:cstheme="minorHAnsi"/>
                <w:sz w:val="20"/>
                <w:szCs w:val="20"/>
              </w:rPr>
              <w:t>“</w:t>
            </w:r>
            <w:r w:rsidR="00AC7B10">
              <w:rPr>
                <w:rFonts w:asciiTheme="minorHAnsi" w:hAnsiTheme="minorHAnsi" w:cstheme="minorHAnsi"/>
                <w:sz w:val="20"/>
                <w:szCs w:val="20"/>
              </w:rPr>
              <w:t xml:space="preserve"> i </w:t>
            </w:r>
            <w:r w:rsidR="00AC7B10" w:rsidRPr="00AC7B10">
              <w:rPr>
                <w:rFonts w:asciiTheme="minorHAnsi" w:hAnsiTheme="minorHAnsi" w:cstheme="minorHAnsi"/>
                <w:sz w:val="20"/>
                <w:szCs w:val="20"/>
              </w:rPr>
              <w:t>„</w:t>
            </w:r>
            <w:proofErr w:type="spellStart"/>
            <w:r w:rsidR="00AC7B10" w:rsidRPr="00AC7B10">
              <w:rPr>
                <w:rFonts w:asciiTheme="minorHAnsi" w:hAnsiTheme="minorHAnsi" w:cstheme="minorHAnsi"/>
                <w:sz w:val="20"/>
                <w:szCs w:val="20"/>
              </w:rPr>
              <w:t>US</w:t>
            </w:r>
            <w:r w:rsidR="00AC7B10">
              <w:rPr>
                <w:rFonts w:asciiTheme="minorHAnsi" w:hAnsiTheme="minorHAnsi" w:cstheme="minorHAnsi"/>
                <w:sz w:val="20"/>
                <w:szCs w:val="20"/>
              </w:rPr>
              <w:t>EFUL</w:t>
            </w:r>
            <w:proofErr w:type="spellEnd"/>
            <w:r w:rsidR="00AC7B10">
              <w:rPr>
                <w:rFonts w:asciiTheme="minorHAnsi" w:hAnsiTheme="minorHAnsi" w:cstheme="minorHAnsi"/>
                <w:sz w:val="20"/>
                <w:szCs w:val="20"/>
              </w:rPr>
              <w:t xml:space="preserve"> </w:t>
            </w:r>
            <w:proofErr w:type="spellStart"/>
            <w:r w:rsidR="00AC7B10">
              <w:rPr>
                <w:rFonts w:asciiTheme="minorHAnsi" w:hAnsiTheme="minorHAnsi" w:cstheme="minorHAnsi"/>
                <w:sz w:val="20"/>
                <w:szCs w:val="20"/>
              </w:rPr>
              <w:t>LIVES</w:t>
            </w:r>
            <w:proofErr w:type="spellEnd"/>
            <w:r w:rsidR="00AC7B10">
              <w:rPr>
                <w:rFonts w:asciiTheme="minorHAnsi" w:hAnsiTheme="minorHAnsi" w:cstheme="minorHAnsi"/>
                <w:sz w:val="20"/>
                <w:szCs w:val="20"/>
              </w:rPr>
              <w:t>“)</w:t>
            </w:r>
            <w:r w:rsidRPr="00253DF7">
              <w:rPr>
                <w:rFonts w:asciiTheme="minorHAnsi" w:hAnsiTheme="minorHAnsi" w:cstheme="minorHAnsi"/>
                <w:sz w:val="20"/>
                <w:szCs w:val="20"/>
              </w:rPr>
              <w:t xml:space="preserve"> nisu ažurirani iz jednostavnog razloga jer od izrade trenutno važeće verzije modela nije došlo do promjena u mreži zbog kojih bi takvo ažuriranje bilo potrebno. Nadalje, HAKOM smatra da izmjena navedenih parametara nije stvar ažuriranja modela nego izmjena pretpostavki i algoritama u troškovnom modelu što nije predmet ovoga postupka</w:t>
            </w:r>
            <w:r>
              <w:rPr>
                <w:rFonts w:asciiTheme="minorHAnsi" w:hAnsiTheme="minorHAnsi" w:cstheme="minorHAnsi"/>
                <w:sz w:val="20"/>
                <w:szCs w:val="20"/>
              </w:rPr>
              <w:t>.</w:t>
            </w:r>
          </w:p>
          <w:p w14:paraId="1D7F31DB" w14:textId="77777777" w:rsidR="009C1B41" w:rsidRDefault="009C1B41" w:rsidP="00F737D6">
            <w:pPr>
              <w:jc w:val="both"/>
              <w:rPr>
                <w:rFonts w:asciiTheme="minorHAnsi" w:hAnsiTheme="minorHAnsi" w:cstheme="minorHAnsi"/>
                <w:sz w:val="20"/>
                <w:szCs w:val="20"/>
              </w:rPr>
            </w:pPr>
          </w:p>
          <w:p w14:paraId="07DAC6F9" w14:textId="77777777" w:rsidR="009C1B41" w:rsidRDefault="009C1B41">
            <w:pPr>
              <w:jc w:val="both"/>
              <w:rPr>
                <w:rFonts w:asciiTheme="minorHAnsi" w:hAnsiTheme="minorHAnsi" w:cstheme="minorHAnsi"/>
                <w:sz w:val="20"/>
                <w:szCs w:val="20"/>
              </w:rPr>
            </w:pPr>
            <w:r>
              <w:rPr>
                <w:rFonts w:asciiTheme="minorHAnsi" w:hAnsiTheme="minorHAnsi" w:cstheme="minorHAnsi"/>
                <w:sz w:val="20"/>
                <w:szCs w:val="20"/>
              </w:rPr>
              <w:t xml:space="preserve">Što se tiče pretpostavke za „Take </w:t>
            </w:r>
            <w:proofErr w:type="spellStart"/>
            <w:r>
              <w:rPr>
                <w:rFonts w:asciiTheme="minorHAnsi" w:hAnsiTheme="minorHAnsi" w:cstheme="minorHAnsi"/>
                <w:sz w:val="20"/>
                <w:szCs w:val="20"/>
              </w:rPr>
              <w:t>up</w:t>
            </w:r>
            <w:proofErr w:type="spellEnd"/>
            <w:r>
              <w:rPr>
                <w:rFonts w:asciiTheme="minorHAnsi" w:hAnsiTheme="minorHAnsi" w:cstheme="minorHAnsi"/>
                <w:sz w:val="20"/>
                <w:szCs w:val="20"/>
              </w:rPr>
              <w:t xml:space="preserve">“, odnosno stope </w:t>
            </w:r>
            <w:proofErr w:type="spellStart"/>
            <w:r>
              <w:rPr>
                <w:rFonts w:asciiTheme="minorHAnsi" w:hAnsiTheme="minorHAnsi" w:cstheme="minorHAnsi"/>
                <w:sz w:val="20"/>
                <w:szCs w:val="20"/>
              </w:rPr>
              <w:t>utilizacije</w:t>
            </w:r>
            <w:proofErr w:type="spellEnd"/>
            <w:r>
              <w:rPr>
                <w:rFonts w:asciiTheme="minorHAnsi" w:hAnsiTheme="minorHAnsi" w:cstheme="minorHAnsi"/>
                <w:sz w:val="20"/>
                <w:szCs w:val="20"/>
              </w:rPr>
              <w:t xml:space="preserve">/korištenja HT-ove svjetlovodne mreže na temelju kojeg je procijenjena potražnja za uslugama na HT-ovoj svjetlovodnoj mreži, HAKOM smatra da je i dalje potrebno zadržati iste pretpostavke kao i kod određivanja trenutno važećih cijena. Naime, HAKOM i dalje smatra da je stopa </w:t>
            </w:r>
            <w:proofErr w:type="spellStart"/>
            <w:r>
              <w:rPr>
                <w:rFonts w:asciiTheme="minorHAnsi" w:hAnsiTheme="minorHAnsi" w:cstheme="minorHAnsi"/>
                <w:sz w:val="20"/>
                <w:szCs w:val="20"/>
              </w:rPr>
              <w:t>utilizacije</w:t>
            </w:r>
            <w:proofErr w:type="spellEnd"/>
            <w:r>
              <w:rPr>
                <w:rFonts w:asciiTheme="minorHAnsi" w:hAnsiTheme="minorHAnsi" w:cstheme="minorHAnsi"/>
                <w:sz w:val="20"/>
                <w:szCs w:val="20"/>
              </w:rPr>
              <w:t xml:space="preserve"> od 45% u komercijalnim područjima i 60% u područjima gdje se mreže grade uz sufinanciranje sredstvima iz EU fondova realno ostvariva u 2027 godini kao što je pretpostavljeno u modelu.</w:t>
            </w:r>
          </w:p>
          <w:p w14:paraId="4AA77863" w14:textId="77777777" w:rsidR="009C1B41" w:rsidRDefault="009C1B41" w:rsidP="00C14C99">
            <w:pPr>
              <w:jc w:val="both"/>
              <w:rPr>
                <w:rFonts w:asciiTheme="minorHAnsi" w:hAnsiTheme="minorHAnsi" w:cstheme="minorHAnsi"/>
                <w:sz w:val="20"/>
                <w:szCs w:val="20"/>
              </w:rPr>
            </w:pPr>
          </w:p>
          <w:p w14:paraId="72B2F8D5" w14:textId="20B3C1D4" w:rsidR="00253DF7" w:rsidRPr="00CE310D" w:rsidRDefault="009C1B41">
            <w:pPr>
              <w:jc w:val="both"/>
              <w:rPr>
                <w:rFonts w:asciiTheme="minorHAnsi" w:hAnsiTheme="minorHAnsi" w:cstheme="minorHAnsi"/>
                <w:sz w:val="20"/>
                <w:szCs w:val="20"/>
              </w:rPr>
            </w:pPr>
            <w:r>
              <w:rPr>
                <w:rFonts w:asciiTheme="minorHAnsi" w:hAnsiTheme="minorHAnsi" w:cstheme="minorHAnsi"/>
                <w:sz w:val="20"/>
                <w:szCs w:val="20"/>
              </w:rPr>
              <w:t xml:space="preserve">Nastavno na HT-ov komentar da bi se u modelu trebao promijeniti </w:t>
            </w:r>
            <w:r w:rsidRPr="00C14C99">
              <w:rPr>
                <w:rFonts w:asciiTheme="minorHAnsi" w:hAnsiTheme="minorHAnsi" w:cstheme="minorHAnsi"/>
                <w:i/>
                <w:sz w:val="20"/>
                <w:szCs w:val="20"/>
              </w:rPr>
              <w:t xml:space="preserve">parametar smanjenja jediničnih </w:t>
            </w:r>
            <w:proofErr w:type="spellStart"/>
            <w:r w:rsidRPr="00C14C99">
              <w:rPr>
                <w:rFonts w:asciiTheme="minorHAnsi" w:hAnsiTheme="minorHAnsi" w:cstheme="minorHAnsi"/>
                <w:i/>
                <w:sz w:val="20"/>
                <w:szCs w:val="20"/>
              </w:rPr>
              <w:t>OPEX</w:t>
            </w:r>
            <w:proofErr w:type="spellEnd"/>
            <w:r w:rsidRPr="00C14C99">
              <w:rPr>
                <w:rFonts w:asciiTheme="minorHAnsi" w:hAnsiTheme="minorHAnsi" w:cstheme="minorHAnsi"/>
                <w:i/>
                <w:sz w:val="20"/>
                <w:szCs w:val="20"/>
              </w:rPr>
              <w:t xml:space="preserve"> troškova za imovinu bakrene mreže u budućem razdoblju</w:t>
            </w:r>
            <w:r>
              <w:rPr>
                <w:rFonts w:asciiTheme="minorHAnsi" w:hAnsiTheme="minorHAnsi" w:cstheme="minorHAnsi"/>
                <w:i/>
                <w:sz w:val="20"/>
                <w:szCs w:val="20"/>
              </w:rPr>
              <w:t xml:space="preserve">, </w:t>
            </w:r>
            <w:r>
              <w:rPr>
                <w:rFonts w:asciiTheme="minorHAnsi" w:hAnsiTheme="minorHAnsi" w:cstheme="minorHAnsi"/>
                <w:sz w:val="20"/>
                <w:szCs w:val="20"/>
              </w:rPr>
              <w:t>HAKOM ističe da je riječ o pretpostavci u troškovnom modelu kojom se</w:t>
            </w:r>
            <w:r w:rsidR="004A7435">
              <w:rPr>
                <w:rFonts w:asciiTheme="minorHAnsi" w:hAnsiTheme="minorHAnsi" w:cstheme="minorHAnsi"/>
                <w:sz w:val="20"/>
                <w:szCs w:val="20"/>
              </w:rPr>
              <w:t xml:space="preserve"> pretpostavlja da bi </w:t>
            </w:r>
            <w:r>
              <w:rPr>
                <w:rFonts w:asciiTheme="minorHAnsi" w:hAnsiTheme="minorHAnsi" w:cstheme="minorHAnsi"/>
                <w:sz w:val="20"/>
                <w:szCs w:val="20"/>
              </w:rPr>
              <w:t>učinkoviti operator</w:t>
            </w:r>
            <w:r w:rsidR="004A7435">
              <w:rPr>
                <w:rFonts w:asciiTheme="minorHAnsi" w:hAnsiTheme="minorHAnsi" w:cstheme="minorHAnsi"/>
                <w:sz w:val="20"/>
                <w:szCs w:val="20"/>
              </w:rPr>
              <w:t xml:space="preserve"> trebao sve svoje napore usmjeriti na migriranje korisnika s bakrene mreže na svjetlovodnu mrežu u područjima gdje je ista dostupna, što bi trebalo omogućiti gašenje bakrene mreže u takvim područjima, a što bi onda dovelo do smanjenja </w:t>
            </w:r>
            <w:proofErr w:type="spellStart"/>
            <w:r w:rsidR="004A7435">
              <w:rPr>
                <w:rFonts w:asciiTheme="minorHAnsi" w:hAnsiTheme="minorHAnsi" w:cstheme="minorHAnsi"/>
                <w:sz w:val="20"/>
                <w:szCs w:val="20"/>
              </w:rPr>
              <w:t>OPEX</w:t>
            </w:r>
            <w:proofErr w:type="spellEnd"/>
            <w:r w:rsidR="004A7435">
              <w:rPr>
                <w:rFonts w:asciiTheme="minorHAnsi" w:hAnsiTheme="minorHAnsi" w:cstheme="minorHAnsi"/>
                <w:sz w:val="20"/>
                <w:szCs w:val="20"/>
              </w:rPr>
              <w:t xml:space="preserve"> troškova bakrene mreže. Nastavno na navedeno, HAKOM</w:t>
            </w:r>
            <w:r w:rsidR="009B650C">
              <w:rPr>
                <w:rFonts w:asciiTheme="minorHAnsi" w:hAnsiTheme="minorHAnsi" w:cstheme="minorHAnsi"/>
                <w:sz w:val="20"/>
                <w:szCs w:val="20"/>
              </w:rPr>
              <w:t xml:space="preserve"> smatra opravdanim zadržati istu</w:t>
            </w:r>
            <w:r w:rsidR="004A7435">
              <w:rPr>
                <w:rFonts w:asciiTheme="minorHAnsi" w:hAnsiTheme="minorHAnsi" w:cstheme="minorHAnsi"/>
                <w:sz w:val="20"/>
                <w:szCs w:val="20"/>
              </w:rPr>
              <w:t xml:space="preserve"> pretpostavku i u ažuriranoj verziji modela.</w:t>
            </w:r>
          </w:p>
        </w:tc>
      </w:tr>
      <w:tr w:rsidR="007664C8" w:rsidRPr="00CE310D" w14:paraId="45BCA94D"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5C18317D" w14:textId="1324B712" w:rsidR="007664C8" w:rsidRPr="00CE310D" w:rsidRDefault="00BE7C23" w:rsidP="00F737D6">
            <w:pPr>
              <w:rPr>
                <w:rFonts w:asciiTheme="minorHAnsi" w:hAnsiTheme="minorHAnsi" w:cstheme="minorHAnsi"/>
                <w:sz w:val="20"/>
                <w:szCs w:val="20"/>
              </w:rPr>
            </w:pPr>
            <w:r w:rsidRPr="00CE310D">
              <w:rPr>
                <w:rFonts w:asciiTheme="minorHAnsi" w:hAnsiTheme="minorHAnsi" w:cstheme="minorHAnsi"/>
                <w:sz w:val="20"/>
                <w:szCs w:val="20"/>
              </w:rPr>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72F6912" w14:textId="4D2DEE05" w:rsidR="007664C8" w:rsidRPr="00CE310D" w:rsidRDefault="00E12055" w:rsidP="00F737D6">
            <w:pPr>
              <w:rPr>
                <w:rFonts w:asciiTheme="minorHAnsi" w:hAnsiTheme="minorHAnsi" w:cstheme="minorHAnsi"/>
                <w:sz w:val="20"/>
                <w:szCs w:val="20"/>
              </w:rPr>
            </w:pPr>
            <w:r w:rsidRPr="00CE310D">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9410849" w14:textId="4591B910"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A1 nema posebnih primjedbi vezano za opseg ulaznih podataka i parametara u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troškovnom modelu koje je HAKOM ažurirao.</w:t>
            </w:r>
          </w:p>
          <w:p w14:paraId="02757435" w14:textId="77777777" w:rsidR="00F737D6" w:rsidRPr="00CE310D" w:rsidRDefault="00F737D6" w:rsidP="00132EA6">
            <w:pPr>
              <w:jc w:val="both"/>
              <w:rPr>
                <w:rFonts w:asciiTheme="minorHAnsi" w:hAnsiTheme="minorHAnsi" w:cstheme="minorHAnsi"/>
                <w:sz w:val="20"/>
                <w:szCs w:val="20"/>
              </w:rPr>
            </w:pPr>
          </w:p>
          <w:p w14:paraId="60DE9727" w14:textId="4EE7C1DE" w:rsidR="007664C8" w:rsidRPr="00CE310D" w:rsidRDefault="00132EA6" w:rsidP="00132EA6">
            <w:pPr>
              <w:autoSpaceDE w:val="0"/>
              <w:autoSpaceDN w:val="0"/>
              <w:adjustRightInd w:val="0"/>
              <w:jc w:val="both"/>
              <w:rPr>
                <w:rFonts w:asciiTheme="minorHAnsi" w:hAnsiTheme="minorHAnsi" w:cstheme="minorHAnsi"/>
                <w:sz w:val="20"/>
                <w:szCs w:val="20"/>
              </w:rPr>
            </w:pPr>
            <w:r w:rsidRPr="00CE310D">
              <w:rPr>
                <w:rFonts w:asciiTheme="minorHAnsi" w:hAnsiTheme="minorHAnsi" w:cstheme="minorHAnsi"/>
                <w:sz w:val="20"/>
                <w:szCs w:val="20"/>
              </w:rPr>
              <w:t>U odgovorima na sljedeća pitanja A1 dostavlja komentare na dijelove ažuriranih podataka koji su prema mišljenju A1 neispravni i/ili nedosljedni.</w:t>
            </w:r>
          </w:p>
        </w:tc>
        <w:tc>
          <w:tcPr>
            <w:tcW w:w="1936" w:type="pct"/>
            <w:tcBorders>
              <w:top w:val="single" w:sz="6" w:space="0" w:color="CCCCCC"/>
              <w:left w:val="single" w:sz="6" w:space="0" w:color="CCCCCC"/>
              <w:bottom w:val="single" w:sz="6" w:space="0" w:color="CCCCCC"/>
              <w:right w:val="single" w:sz="6" w:space="0" w:color="CCCCCC"/>
            </w:tcBorders>
          </w:tcPr>
          <w:p w14:paraId="5659952C" w14:textId="345BB327" w:rsidR="007664C8" w:rsidRPr="00C14C99" w:rsidRDefault="004A7435" w:rsidP="00F737D6">
            <w:pPr>
              <w:ind w:left="39"/>
              <w:rPr>
                <w:rFonts w:asciiTheme="minorHAnsi" w:hAnsiTheme="minorHAnsi" w:cstheme="minorHAnsi"/>
                <w:sz w:val="20"/>
                <w:szCs w:val="20"/>
              </w:rPr>
            </w:pPr>
            <w:r w:rsidRPr="00C14C99">
              <w:rPr>
                <w:rFonts w:asciiTheme="minorHAnsi" w:hAnsiTheme="minorHAnsi" w:cstheme="minorHAnsi"/>
                <w:sz w:val="20"/>
                <w:szCs w:val="20"/>
              </w:rPr>
              <w:t>HAKOM zahvaljuje na komentaru.</w:t>
            </w:r>
          </w:p>
        </w:tc>
      </w:tr>
      <w:tr w:rsidR="00132EA6" w:rsidRPr="00CE310D" w14:paraId="12416ABB"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6CDC4D85" w14:textId="05DAA57E"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A96CA85" w14:textId="24A931F8" w:rsidR="00132EA6" w:rsidRPr="00CE310D" w:rsidRDefault="00132EA6" w:rsidP="00132EA6">
            <w:pPr>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5D032F7"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Uvodno,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kako nije u cijelosti suglasan s izvršenim ažuriranjem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xml:space="preserve">+ troškovnog modela te navodi neke ključne poruke: </w:t>
            </w:r>
          </w:p>
          <w:p w14:paraId="3F400120" w14:textId="77777777" w:rsidR="00132EA6" w:rsidRPr="00CE310D" w:rsidRDefault="00132EA6" w:rsidP="00132EA6">
            <w:pPr>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Geografska analiza teritorija RH predstavlja bitan ulazni podatak u troškovnom modelu zbog čega je nužno da ista odgovara stvarnom stanju. Zbog navedenog, geografsku analizu je nužno izvršiti temeljem aktualnih podataka o broju zgrada, kućanstava i stanova u RH te je potrebno jasno navesti koji izvore podataka HAKOM uzima kao referentne u modelu. </w:t>
            </w:r>
          </w:p>
          <w:p w14:paraId="157808D6" w14:textId="77777777" w:rsidR="00132EA6" w:rsidRPr="00CE310D" w:rsidRDefault="00132EA6" w:rsidP="00132EA6">
            <w:pPr>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Potražnju (take-</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xml:space="preserve">) za uslugama na svjetlovodnoj pristupnoj mreži potrebno je predvidjeti ambicioznije nego je trenutno pretpostavljen u troškovnom modelu. Nužno je da pretpostavljeni take </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xml:space="preserve"> ne rezultira penalizacijom operatora korisnika kroz previsoke ulazne troškove u modelu, a do čega dolazi ako je take-</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pre</w:t>
            </w:r>
            <w:proofErr w:type="spellEnd"/>
            <w:r w:rsidRPr="00CE310D">
              <w:rPr>
                <w:rFonts w:asciiTheme="minorHAnsi" w:hAnsiTheme="minorHAnsi" w:cstheme="minorHAnsi"/>
                <w:sz w:val="20"/>
                <w:szCs w:val="20"/>
              </w:rPr>
              <w:t xml:space="preserve">)nisko postavljen. </w:t>
            </w:r>
          </w:p>
          <w:p w14:paraId="38F7B5E9" w14:textId="77777777" w:rsidR="00132EA6" w:rsidRPr="00CE310D" w:rsidRDefault="00132EA6" w:rsidP="00132EA6">
            <w:pPr>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Očekivana veća </w:t>
            </w:r>
            <w:proofErr w:type="spellStart"/>
            <w:r w:rsidRPr="00CE310D">
              <w:rPr>
                <w:rFonts w:asciiTheme="minorHAnsi" w:hAnsiTheme="minorHAnsi" w:cstheme="minorHAnsi"/>
                <w:sz w:val="20"/>
                <w:szCs w:val="20"/>
              </w:rPr>
              <w:t>utilizacija</w:t>
            </w:r>
            <w:proofErr w:type="spellEnd"/>
            <w:r w:rsidRPr="00CE310D">
              <w:rPr>
                <w:rFonts w:asciiTheme="minorHAnsi" w:hAnsiTheme="minorHAnsi" w:cstheme="minorHAnsi"/>
                <w:sz w:val="20"/>
                <w:szCs w:val="20"/>
              </w:rPr>
              <w:t xml:space="preserve"> optičkih mreža kroz buduće razdoblje nužno mora rezultirati smanjenjem troškova bakrene mreže, a time i veleprodajnih naknada za usluge na bakrenoj mreži. </w:t>
            </w:r>
          </w:p>
          <w:p w14:paraId="120A8004" w14:textId="77777777" w:rsidR="00132EA6" w:rsidRPr="00CE310D" w:rsidRDefault="00132EA6" w:rsidP="00132EA6">
            <w:pPr>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Broj mrežnih elemenata koji su rezultat postupka ažuriranja ne odgovora realnom stanju i time se neispravno odražava na ulazne parametre, a u konačnici na troškove i veleprodajne naknade. </w:t>
            </w:r>
          </w:p>
          <w:p w14:paraId="37DDE129" w14:textId="77777777" w:rsidR="00132EA6" w:rsidRPr="00CE310D" w:rsidRDefault="00132EA6" w:rsidP="00132EA6">
            <w:pPr>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Povećanja jediničnih troškova navedena u Privitku 1 ne odražavaju stvarno stanje te je iste potrebno revidirati, a „alternativne“ izvore podataka koje HAKOM uzima kao relevantne objaviti. </w:t>
            </w:r>
          </w:p>
          <w:p w14:paraId="5613B537" w14:textId="77777777" w:rsidR="00132EA6" w:rsidRPr="00CE310D" w:rsidRDefault="00132EA6" w:rsidP="00132EA6">
            <w:pPr>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Iz troškova koji čine input naknade za zajedničko korištenje kabelske kanalizacije potrebno je isključiti troškove refundacije. </w:t>
            </w:r>
          </w:p>
          <w:p w14:paraId="4D1BD838" w14:textId="77777777" w:rsidR="00132EA6" w:rsidRPr="00CE310D" w:rsidRDefault="00132EA6" w:rsidP="00132EA6">
            <w:pPr>
              <w:autoSpaceDE w:val="0"/>
              <w:autoSpaceDN w:val="0"/>
              <w:adjustRightInd w:val="0"/>
              <w:jc w:val="both"/>
              <w:rPr>
                <w:rFonts w:asciiTheme="minorHAnsi" w:hAnsiTheme="minorHAnsi" w:cstheme="minorHAnsi"/>
                <w:sz w:val="20"/>
                <w:szCs w:val="20"/>
              </w:rPr>
            </w:pPr>
            <w:r w:rsidRPr="00CE310D">
              <w:rPr>
                <w:rFonts w:ascii="Segoe UI Symbol" w:hAnsi="Segoe UI Symbol" w:cs="Segoe UI Symbol"/>
                <w:sz w:val="20"/>
                <w:szCs w:val="20"/>
              </w:rPr>
              <w:t>➢</w:t>
            </w:r>
            <w:r w:rsidRPr="00CE310D">
              <w:rPr>
                <w:rFonts w:asciiTheme="minorHAnsi" w:hAnsiTheme="minorHAnsi" w:cstheme="minorHAnsi"/>
                <w:sz w:val="20"/>
                <w:szCs w:val="20"/>
              </w:rPr>
              <w:t xml:space="preserve"> Sve ulazne troškove koji ulaze u izračun mjesečnih naknada za najam prostora u distribucijskom čvoru potrebno je korigirati jer ne postoji nikakvo opravdanje da se isti deseterostruko povećavaju.</w:t>
            </w:r>
          </w:p>
          <w:p w14:paraId="4042C2FF" w14:textId="77777777" w:rsidR="00132EA6" w:rsidRPr="00CE310D" w:rsidRDefault="00132EA6" w:rsidP="00132EA6">
            <w:pPr>
              <w:autoSpaceDE w:val="0"/>
              <w:autoSpaceDN w:val="0"/>
              <w:adjustRightInd w:val="0"/>
              <w:jc w:val="both"/>
              <w:rPr>
                <w:rFonts w:asciiTheme="minorHAnsi" w:hAnsiTheme="minorHAnsi" w:cstheme="minorHAnsi"/>
                <w:sz w:val="20"/>
                <w:szCs w:val="20"/>
              </w:rPr>
            </w:pPr>
          </w:p>
          <w:p w14:paraId="5C3F84A1" w14:textId="3141EB8A" w:rsidR="00132EA6" w:rsidRDefault="00132EA6" w:rsidP="00132EA6">
            <w:pPr>
              <w:autoSpaceDE w:val="0"/>
              <w:autoSpaceDN w:val="0"/>
              <w:adjustRightInd w:val="0"/>
              <w:jc w:val="both"/>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skreće pozornost HAKOM-u kako je prilikom ažuriranja troškovnog modela bilo nužno napraviti novu/ažuriranu geografsku analizu teritorija RH. Za model s izrazito važnim utjecajem na operatore korisnike i tržište u cijelosti, nužno je prvenstveno da geografska analiza, čiji rezultati su jedan od najbitnijih ulaznih podataka, odgovara stvarnom stanju. Međutim, iz dokumenta HAKOM-a „Ažuriranje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xml:space="preserve">+ troškovnog modela“ proizlazi da se prilikom izračuna troškova i posljedično novih veleprodajnih cijena koristi ista geografsku analiza koju je za HAKOM napravila konzultantska kuća </w:t>
            </w:r>
            <w:proofErr w:type="spellStart"/>
            <w:r w:rsidRPr="00CE310D">
              <w:rPr>
                <w:rFonts w:asciiTheme="minorHAnsi" w:hAnsiTheme="minorHAnsi" w:cstheme="minorHAnsi"/>
                <w:sz w:val="20"/>
                <w:szCs w:val="20"/>
              </w:rPr>
              <w:t>AXON</w:t>
            </w:r>
            <w:proofErr w:type="spellEnd"/>
            <w:r w:rsidRPr="00CE310D">
              <w:rPr>
                <w:rFonts w:asciiTheme="minorHAnsi" w:hAnsiTheme="minorHAnsi" w:cstheme="minorHAnsi"/>
                <w:sz w:val="20"/>
                <w:szCs w:val="20"/>
              </w:rPr>
              <w:t xml:space="preserve"> prije 4 godine (2019.). </w:t>
            </w:r>
          </w:p>
          <w:p w14:paraId="48F5DC8E" w14:textId="77777777" w:rsidR="00D374AD" w:rsidRPr="00CE310D" w:rsidRDefault="00D374AD" w:rsidP="00132EA6">
            <w:pPr>
              <w:autoSpaceDE w:val="0"/>
              <w:autoSpaceDN w:val="0"/>
              <w:adjustRightInd w:val="0"/>
              <w:jc w:val="both"/>
              <w:rPr>
                <w:rFonts w:asciiTheme="minorHAnsi" w:hAnsiTheme="minorHAnsi" w:cstheme="minorHAnsi"/>
                <w:sz w:val="20"/>
                <w:szCs w:val="20"/>
              </w:rPr>
            </w:pPr>
          </w:p>
          <w:p w14:paraId="46861531" w14:textId="15BAEC58" w:rsidR="00132EA6" w:rsidRPr="00CE310D" w:rsidRDefault="00132EA6" w:rsidP="00132EA6">
            <w:pPr>
              <w:autoSpaceDE w:val="0"/>
              <w:autoSpaceDN w:val="0"/>
              <w:adjustRightInd w:val="0"/>
              <w:jc w:val="both"/>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da je tada u obzir uzet popis stanovništva Državnog zavoda za statistiku iz 2011. i broj novo izgrađenih kućanstva po županijama godišnje od 2011. do 2019. U međuvremenu, izvršen je i novi popis stanovništva 2021. uslijed čega onaj iz 2011. nije relevantan, a podatak o izgrađenim kućanstvima od 2011. do 2019. više nije adekvatan. Dodatno, u međuvremenu su donesene i nove Analize tržišta za M1 i M3b tržište, za koje HAKOM nije koristio ovu metodologiju geografske analize, već je prikupljao i obrađivao podatke o kućanstvima i korisničkim jedinicama u RH od Hrvatske pošte. </w:t>
            </w:r>
          </w:p>
          <w:p w14:paraId="20E7D02B" w14:textId="77777777" w:rsidR="00132EA6" w:rsidRPr="00CE310D" w:rsidRDefault="00132EA6" w:rsidP="00132EA6">
            <w:pPr>
              <w:autoSpaceDE w:val="0"/>
              <w:autoSpaceDN w:val="0"/>
              <w:adjustRightInd w:val="0"/>
              <w:jc w:val="both"/>
              <w:rPr>
                <w:rFonts w:asciiTheme="minorHAnsi" w:hAnsiTheme="minorHAnsi" w:cstheme="minorHAnsi"/>
                <w:sz w:val="20"/>
                <w:szCs w:val="20"/>
              </w:rPr>
            </w:pPr>
          </w:p>
          <w:p w14:paraId="7829D384" w14:textId="086EB5C0" w:rsidR="00132EA6" w:rsidRDefault="00132EA6" w:rsidP="00132EA6">
            <w:pPr>
              <w:autoSpaceDE w:val="0"/>
              <w:autoSpaceDN w:val="0"/>
              <w:adjustRightInd w:val="0"/>
              <w:jc w:val="both"/>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napominje da razumije kako su određene razlike u metodologiji i rezultatima opravdane zbog različite obrade podataka i različitih svrha kojima služe. Međutim, obzirom da podaci o broju korisničkih jedinaca iz Troškovnog modela i Analiza tržišta značajno odudaraju, smatraju nužnim da se razjasni razlika u rezultatima. U svakom slučaju, podaci u Troškovnom modelu moraju se ažurirati na način da odg</w:t>
            </w:r>
            <w:r w:rsidR="00F737D6" w:rsidRPr="00CE310D">
              <w:rPr>
                <w:rFonts w:asciiTheme="minorHAnsi" w:hAnsiTheme="minorHAnsi" w:cstheme="minorHAnsi"/>
                <w:sz w:val="20"/>
                <w:szCs w:val="20"/>
              </w:rPr>
              <w:t>ovaraju 2023., a ne 2019.</w:t>
            </w:r>
            <w:r w:rsidRPr="00CE310D">
              <w:rPr>
                <w:rFonts w:asciiTheme="minorHAnsi" w:hAnsiTheme="minorHAnsi" w:cstheme="minorHAnsi"/>
                <w:sz w:val="20"/>
                <w:szCs w:val="20"/>
              </w:rPr>
              <w:t xml:space="preserve"> Dodatno, a obzirom da se očekuje kako će nove cijene veleprodajnih usluga biti u primjeni od 1.4.2024. u periodu od naredne 3 godine, očito je da geografska analiza iz 2019. nije i ne može biti adekvatna za naredno razdoblje primjene novih veleprodajnih cijena. </w:t>
            </w:r>
          </w:p>
          <w:p w14:paraId="54C62F81" w14:textId="77777777" w:rsidR="00D374AD" w:rsidRPr="00CE310D" w:rsidRDefault="00D374AD" w:rsidP="00132EA6">
            <w:pPr>
              <w:autoSpaceDE w:val="0"/>
              <w:autoSpaceDN w:val="0"/>
              <w:adjustRightInd w:val="0"/>
              <w:jc w:val="both"/>
              <w:rPr>
                <w:rFonts w:asciiTheme="minorHAnsi" w:hAnsiTheme="minorHAnsi" w:cstheme="minorHAnsi"/>
                <w:sz w:val="20"/>
                <w:szCs w:val="20"/>
              </w:rPr>
            </w:pPr>
          </w:p>
          <w:p w14:paraId="65E43D09" w14:textId="1BD9E2F2" w:rsidR="00132EA6" w:rsidRPr="00CE310D" w:rsidRDefault="00132EA6" w:rsidP="00132EA6">
            <w:pPr>
              <w:autoSpaceDE w:val="0"/>
              <w:autoSpaceDN w:val="0"/>
              <w:adjustRightInd w:val="0"/>
              <w:jc w:val="both"/>
              <w:rPr>
                <w:rFonts w:asciiTheme="minorHAnsi" w:hAnsiTheme="minorHAnsi" w:cstheme="minorHAnsi"/>
                <w:sz w:val="20"/>
                <w:szCs w:val="20"/>
              </w:rPr>
            </w:pPr>
            <w:r w:rsidRPr="00CE310D">
              <w:rPr>
                <w:rFonts w:asciiTheme="minorHAnsi" w:hAnsiTheme="minorHAnsi" w:cstheme="minorHAnsi"/>
                <w:sz w:val="20"/>
                <w:szCs w:val="20"/>
              </w:rPr>
              <w:t xml:space="preserve">Stoga,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poziva HAKOM da izvrši novu geografsku analizu teritorija RH te podatke o broju kućanstva temelji na novim podacima Državnog zavoda za statistiku i/ili drugih izvora, a svakako na način da isti odražavaju realno stanje u 2023. te u narednom periodu za koje će biti relevantni.</w:t>
            </w:r>
          </w:p>
        </w:tc>
        <w:tc>
          <w:tcPr>
            <w:tcW w:w="1936" w:type="pct"/>
            <w:tcBorders>
              <w:top w:val="single" w:sz="6" w:space="0" w:color="CCCCCC"/>
              <w:left w:val="single" w:sz="6" w:space="0" w:color="CCCCCC"/>
              <w:bottom w:val="single" w:sz="6" w:space="0" w:color="CCCCCC"/>
              <w:right w:val="single" w:sz="6" w:space="0" w:color="CCCCCC"/>
            </w:tcBorders>
          </w:tcPr>
          <w:p w14:paraId="13E375F4" w14:textId="0F734D9B" w:rsidR="00D22BC2" w:rsidRDefault="004A7435">
            <w:pPr>
              <w:ind w:left="39"/>
              <w:jc w:val="both"/>
              <w:rPr>
                <w:rFonts w:asciiTheme="minorHAnsi" w:hAnsiTheme="minorHAnsi" w:cstheme="minorHAnsi"/>
                <w:sz w:val="20"/>
                <w:szCs w:val="20"/>
              </w:rPr>
            </w:pPr>
            <w:r>
              <w:rPr>
                <w:rFonts w:asciiTheme="minorHAnsi" w:hAnsiTheme="minorHAnsi" w:cstheme="minorHAnsi"/>
                <w:sz w:val="20"/>
                <w:szCs w:val="20"/>
              </w:rPr>
              <w:t xml:space="preserve">HAKOM se slaže s ocjenom </w:t>
            </w:r>
            <w:proofErr w:type="spellStart"/>
            <w:r>
              <w:rPr>
                <w:rFonts w:asciiTheme="minorHAnsi" w:hAnsiTheme="minorHAnsi" w:cstheme="minorHAnsi"/>
                <w:sz w:val="20"/>
                <w:szCs w:val="20"/>
              </w:rPr>
              <w:t>Telemacha</w:t>
            </w:r>
            <w:proofErr w:type="spellEnd"/>
            <w:r>
              <w:rPr>
                <w:rFonts w:asciiTheme="minorHAnsi" w:hAnsiTheme="minorHAnsi" w:cstheme="minorHAnsi"/>
                <w:sz w:val="20"/>
                <w:szCs w:val="20"/>
              </w:rPr>
              <w:t xml:space="preserve"> da je „</w:t>
            </w:r>
            <w:r w:rsidRPr="00C14C99">
              <w:rPr>
                <w:rFonts w:asciiTheme="minorHAnsi" w:hAnsiTheme="minorHAnsi" w:cstheme="minorHAnsi"/>
                <w:i/>
                <w:sz w:val="20"/>
                <w:szCs w:val="20"/>
              </w:rPr>
              <w:t>Geografska analiza teritorija RH predstavlja bitan ulazni podatak u troškovnom modelu zbog čega je nužno da ista odgovara stvarnom stanju.</w:t>
            </w:r>
            <w:r>
              <w:rPr>
                <w:rFonts w:asciiTheme="minorHAnsi" w:hAnsiTheme="minorHAnsi" w:cstheme="minorHAnsi"/>
                <w:i/>
                <w:sz w:val="20"/>
                <w:szCs w:val="20"/>
              </w:rPr>
              <w:t xml:space="preserve">“ </w:t>
            </w:r>
            <w:r>
              <w:rPr>
                <w:rFonts w:asciiTheme="minorHAnsi" w:hAnsiTheme="minorHAnsi" w:cstheme="minorHAnsi"/>
                <w:sz w:val="20"/>
                <w:szCs w:val="20"/>
              </w:rPr>
              <w:t>t</w:t>
            </w:r>
            <w:r w:rsidRPr="00C14C99">
              <w:rPr>
                <w:rFonts w:asciiTheme="minorHAnsi" w:hAnsiTheme="minorHAnsi" w:cstheme="minorHAnsi"/>
                <w:sz w:val="20"/>
                <w:szCs w:val="20"/>
              </w:rPr>
              <w:t>e da</w:t>
            </w:r>
            <w:r w:rsidRPr="00C14C99">
              <w:rPr>
                <w:rFonts w:asciiTheme="minorHAnsi" w:hAnsiTheme="minorHAnsi" w:cstheme="minorHAnsi"/>
                <w:i/>
                <w:sz w:val="20"/>
                <w:szCs w:val="20"/>
              </w:rPr>
              <w:t xml:space="preserve"> </w:t>
            </w:r>
            <w:r>
              <w:rPr>
                <w:rFonts w:asciiTheme="minorHAnsi" w:hAnsiTheme="minorHAnsi" w:cstheme="minorHAnsi"/>
                <w:i/>
                <w:sz w:val="20"/>
                <w:szCs w:val="20"/>
              </w:rPr>
              <w:t>„</w:t>
            </w:r>
            <w:r w:rsidRPr="00C14C99">
              <w:rPr>
                <w:rFonts w:asciiTheme="minorHAnsi" w:hAnsiTheme="minorHAnsi" w:cstheme="minorHAnsi"/>
                <w:i/>
                <w:sz w:val="20"/>
                <w:szCs w:val="20"/>
              </w:rPr>
              <w:t>Zbog navedenog, geografsku analizu je nužno izvršiti temeljem aktualnih podataka o broju zgrada, kućanstava i stanova u RH te je potrebno jasno navesti koji izvore podataka HAKOM uzima kao referentne u modelu.</w:t>
            </w:r>
            <w:r>
              <w:rPr>
                <w:rFonts w:asciiTheme="minorHAnsi" w:hAnsiTheme="minorHAnsi" w:cstheme="minorHAnsi"/>
                <w:i/>
                <w:sz w:val="20"/>
                <w:szCs w:val="20"/>
              </w:rPr>
              <w:t xml:space="preserve">“. </w:t>
            </w:r>
            <w:r w:rsidRPr="00C14C99">
              <w:rPr>
                <w:rFonts w:asciiTheme="minorHAnsi" w:hAnsiTheme="minorHAnsi" w:cstheme="minorHAnsi"/>
                <w:sz w:val="20"/>
                <w:szCs w:val="20"/>
              </w:rPr>
              <w:t>Međutim,</w:t>
            </w:r>
            <w:r>
              <w:rPr>
                <w:rFonts w:asciiTheme="minorHAnsi" w:hAnsiTheme="minorHAnsi" w:cstheme="minorHAnsi"/>
                <w:i/>
                <w:sz w:val="20"/>
                <w:szCs w:val="20"/>
              </w:rPr>
              <w:t xml:space="preserve"> </w:t>
            </w:r>
            <w:r>
              <w:rPr>
                <w:rFonts w:asciiTheme="minorHAnsi" w:hAnsiTheme="minorHAnsi" w:cstheme="minorHAnsi"/>
                <w:sz w:val="20"/>
                <w:szCs w:val="20"/>
              </w:rPr>
              <w:t xml:space="preserve">HAKOM ističe da je takva geografska analiza napravljena  kod izrade inicijalne verzije troškovnog modela od koje je proteklo tri godine te da se u tako kratkom razdoblju nisu dogodile značajne promjene </w:t>
            </w:r>
            <w:r w:rsidR="00D22BC2">
              <w:rPr>
                <w:rFonts w:asciiTheme="minorHAnsi" w:hAnsiTheme="minorHAnsi" w:cstheme="minorHAnsi"/>
                <w:sz w:val="20"/>
                <w:szCs w:val="20"/>
              </w:rPr>
              <w:t xml:space="preserve">u broju zgrada, odnosno stanova (korisničkih jedinica) </w:t>
            </w:r>
            <w:r>
              <w:rPr>
                <w:rFonts w:asciiTheme="minorHAnsi" w:hAnsiTheme="minorHAnsi" w:cstheme="minorHAnsi"/>
                <w:sz w:val="20"/>
                <w:szCs w:val="20"/>
              </w:rPr>
              <w:t xml:space="preserve">koje bi </w:t>
            </w:r>
            <w:proofErr w:type="spellStart"/>
            <w:r>
              <w:rPr>
                <w:rFonts w:asciiTheme="minorHAnsi" w:hAnsiTheme="minorHAnsi" w:cstheme="minorHAnsi"/>
                <w:sz w:val="20"/>
                <w:szCs w:val="20"/>
              </w:rPr>
              <w:t>zahtjevale</w:t>
            </w:r>
            <w:proofErr w:type="spellEnd"/>
            <w:r>
              <w:rPr>
                <w:rFonts w:asciiTheme="minorHAnsi" w:hAnsiTheme="minorHAnsi" w:cstheme="minorHAnsi"/>
                <w:sz w:val="20"/>
                <w:szCs w:val="20"/>
              </w:rPr>
              <w:t xml:space="preserve"> </w:t>
            </w:r>
            <w:r w:rsidR="00D22BC2">
              <w:rPr>
                <w:rFonts w:asciiTheme="minorHAnsi" w:hAnsiTheme="minorHAnsi" w:cstheme="minorHAnsi"/>
                <w:sz w:val="20"/>
                <w:szCs w:val="20"/>
              </w:rPr>
              <w:t>provođenje nove geografske analize i koje bi imale bitan utjecaj na rezultate modela.</w:t>
            </w:r>
            <w:r>
              <w:rPr>
                <w:rFonts w:asciiTheme="minorHAnsi" w:hAnsiTheme="minorHAnsi" w:cstheme="minorHAnsi"/>
                <w:sz w:val="20"/>
                <w:szCs w:val="20"/>
              </w:rPr>
              <w:t xml:space="preserve">  </w:t>
            </w:r>
            <w:r w:rsidR="00D22BC2">
              <w:rPr>
                <w:rFonts w:asciiTheme="minorHAnsi" w:hAnsiTheme="minorHAnsi" w:cstheme="minorHAnsi"/>
                <w:sz w:val="20"/>
                <w:szCs w:val="20"/>
              </w:rPr>
              <w:t xml:space="preserve">Nastavno na navedeno, s obzirom da model u tom dijelu nije ažuriran, HAKOM ističe da su izvori podataka za </w:t>
            </w:r>
            <w:proofErr w:type="spellStart"/>
            <w:r w:rsidR="00D22BC2">
              <w:rPr>
                <w:rFonts w:asciiTheme="minorHAnsi" w:hAnsiTheme="minorHAnsi" w:cstheme="minorHAnsi"/>
                <w:sz w:val="20"/>
                <w:szCs w:val="20"/>
              </w:rPr>
              <w:t>geograsfku</w:t>
            </w:r>
            <w:proofErr w:type="spellEnd"/>
            <w:r w:rsidR="00D22BC2">
              <w:rPr>
                <w:rFonts w:asciiTheme="minorHAnsi" w:hAnsiTheme="minorHAnsi" w:cstheme="minorHAnsi"/>
                <w:sz w:val="20"/>
                <w:szCs w:val="20"/>
              </w:rPr>
              <w:t xml:space="preserve"> analizu koji su korišteni kod izrade </w:t>
            </w:r>
            <w:proofErr w:type="spellStart"/>
            <w:r w:rsidR="00D22BC2">
              <w:rPr>
                <w:rFonts w:asciiTheme="minorHAnsi" w:hAnsiTheme="minorHAnsi" w:cstheme="minorHAnsi"/>
                <w:sz w:val="20"/>
                <w:szCs w:val="20"/>
              </w:rPr>
              <w:t>incijalne</w:t>
            </w:r>
            <w:proofErr w:type="spellEnd"/>
            <w:r w:rsidR="00D22BC2">
              <w:rPr>
                <w:rFonts w:asciiTheme="minorHAnsi" w:hAnsiTheme="minorHAnsi" w:cstheme="minorHAnsi"/>
                <w:sz w:val="20"/>
                <w:szCs w:val="20"/>
              </w:rPr>
              <w:t xml:space="preserve"> verzije troškovnog modela i koji su jasno navedeni u odlukama o trenutno važećim veleprodajnim cijenama, ostali nepromijenjeni.</w:t>
            </w:r>
          </w:p>
          <w:p w14:paraId="5574EE20" w14:textId="50513844" w:rsidR="00D22BC2" w:rsidRDefault="00D22BC2">
            <w:pPr>
              <w:ind w:left="39"/>
              <w:jc w:val="both"/>
              <w:rPr>
                <w:rFonts w:asciiTheme="minorHAnsi" w:hAnsiTheme="minorHAnsi" w:cstheme="minorHAnsi"/>
                <w:sz w:val="20"/>
                <w:szCs w:val="20"/>
              </w:rPr>
            </w:pPr>
          </w:p>
          <w:p w14:paraId="56E8623E" w14:textId="48ED797C" w:rsidR="00D22BC2" w:rsidRDefault="00D22BC2">
            <w:pPr>
              <w:ind w:left="39"/>
              <w:jc w:val="both"/>
              <w:rPr>
                <w:rFonts w:asciiTheme="minorHAnsi" w:hAnsiTheme="minorHAnsi" w:cstheme="minorHAnsi"/>
                <w:sz w:val="20"/>
                <w:szCs w:val="20"/>
              </w:rPr>
            </w:pPr>
            <w:r>
              <w:rPr>
                <w:rFonts w:asciiTheme="minorHAnsi" w:hAnsiTheme="minorHAnsi" w:cstheme="minorHAnsi"/>
                <w:sz w:val="20"/>
                <w:szCs w:val="20"/>
              </w:rPr>
              <w:t xml:space="preserve">Vezano uz navode </w:t>
            </w:r>
            <w:proofErr w:type="spellStart"/>
            <w:r>
              <w:rPr>
                <w:rFonts w:asciiTheme="minorHAnsi" w:hAnsiTheme="minorHAnsi" w:cstheme="minorHAnsi"/>
                <w:sz w:val="20"/>
                <w:szCs w:val="20"/>
              </w:rPr>
              <w:t>Telemacha</w:t>
            </w:r>
            <w:proofErr w:type="spellEnd"/>
            <w:r>
              <w:rPr>
                <w:rFonts w:asciiTheme="minorHAnsi" w:hAnsiTheme="minorHAnsi" w:cstheme="minorHAnsi"/>
                <w:sz w:val="20"/>
                <w:szCs w:val="20"/>
              </w:rPr>
              <w:t xml:space="preserve"> o potrebi predviđanja ambicioznije stope </w:t>
            </w:r>
            <w:proofErr w:type="spellStart"/>
            <w:r>
              <w:rPr>
                <w:rFonts w:asciiTheme="minorHAnsi" w:hAnsiTheme="minorHAnsi" w:cstheme="minorHAnsi"/>
                <w:sz w:val="20"/>
                <w:szCs w:val="20"/>
              </w:rPr>
              <w:t>utilizacije</w:t>
            </w:r>
            <w:proofErr w:type="spellEnd"/>
            <w:r>
              <w:rPr>
                <w:rFonts w:asciiTheme="minorHAnsi" w:hAnsiTheme="minorHAnsi" w:cstheme="minorHAnsi"/>
                <w:sz w:val="20"/>
                <w:szCs w:val="20"/>
              </w:rPr>
              <w:t xml:space="preserve"> HT-ove svjetlovodne mreže te da je „</w:t>
            </w:r>
            <w:r>
              <w:rPr>
                <w:rFonts w:asciiTheme="minorHAnsi" w:hAnsiTheme="minorHAnsi" w:cstheme="minorHAnsi"/>
                <w:i/>
                <w:sz w:val="20"/>
                <w:szCs w:val="20"/>
              </w:rPr>
              <w:t xml:space="preserve">Nužno </w:t>
            </w:r>
            <w:r w:rsidRPr="00C14C99">
              <w:rPr>
                <w:rFonts w:asciiTheme="minorHAnsi" w:hAnsiTheme="minorHAnsi" w:cstheme="minorHAnsi"/>
                <w:i/>
                <w:sz w:val="20"/>
                <w:szCs w:val="20"/>
              </w:rPr>
              <w:t xml:space="preserve">da pretpostavljeni take </w:t>
            </w:r>
            <w:proofErr w:type="spellStart"/>
            <w:r w:rsidRPr="00C14C99">
              <w:rPr>
                <w:rFonts w:asciiTheme="minorHAnsi" w:hAnsiTheme="minorHAnsi" w:cstheme="minorHAnsi"/>
                <w:i/>
                <w:sz w:val="20"/>
                <w:szCs w:val="20"/>
              </w:rPr>
              <w:t>up</w:t>
            </w:r>
            <w:proofErr w:type="spellEnd"/>
            <w:r w:rsidRPr="00C14C99">
              <w:rPr>
                <w:rFonts w:asciiTheme="minorHAnsi" w:hAnsiTheme="minorHAnsi" w:cstheme="minorHAnsi"/>
                <w:i/>
                <w:sz w:val="20"/>
                <w:szCs w:val="20"/>
              </w:rPr>
              <w:t xml:space="preserve"> ne rezultira penalizacijom operatora korisnika kroz previsoke ulazne troškove u modelu, a do čega dolazi ako je take-</w:t>
            </w:r>
            <w:proofErr w:type="spellStart"/>
            <w:r w:rsidRPr="00C14C99">
              <w:rPr>
                <w:rFonts w:asciiTheme="minorHAnsi" w:hAnsiTheme="minorHAnsi" w:cstheme="minorHAnsi"/>
                <w:i/>
                <w:sz w:val="20"/>
                <w:szCs w:val="20"/>
              </w:rPr>
              <w:t>up</w:t>
            </w:r>
            <w:proofErr w:type="spellEnd"/>
            <w:r w:rsidRPr="00C14C99">
              <w:rPr>
                <w:rFonts w:asciiTheme="minorHAnsi" w:hAnsiTheme="minorHAnsi" w:cstheme="minorHAnsi"/>
                <w:i/>
                <w:sz w:val="20"/>
                <w:szCs w:val="20"/>
              </w:rPr>
              <w:t xml:space="preserve"> (</w:t>
            </w:r>
            <w:proofErr w:type="spellStart"/>
            <w:r w:rsidRPr="00C14C99">
              <w:rPr>
                <w:rFonts w:asciiTheme="minorHAnsi" w:hAnsiTheme="minorHAnsi" w:cstheme="minorHAnsi"/>
                <w:i/>
                <w:sz w:val="20"/>
                <w:szCs w:val="20"/>
              </w:rPr>
              <w:t>pre</w:t>
            </w:r>
            <w:proofErr w:type="spellEnd"/>
            <w:r w:rsidRPr="00C14C99">
              <w:rPr>
                <w:rFonts w:asciiTheme="minorHAnsi" w:hAnsiTheme="minorHAnsi" w:cstheme="minorHAnsi"/>
                <w:i/>
                <w:sz w:val="20"/>
                <w:szCs w:val="20"/>
              </w:rPr>
              <w:t>)nisko postavljen</w:t>
            </w:r>
            <w:r w:rsidRPr="00D22BC2">
              <w:rPr>
                <w:rFonts w:asciiTheme="minorHAnsi" w:hAnsiTheme="minorHAnsi" w:cstheme="minorHAnsi"/>
                <w:sz w:val="20"/>
                <w:szCs w:val="20"/>
              </w:rPr>
              <w:t>.</w:t>
            </w:r>
            <w:r>
              <w:rPr>
                <w:rFonts w:asciiTheme="minorHAnsi" w:hAnsiTheme="minorHAnsi" w:cstheme="minorHAnsi"/>
                <w:sz w:val="20"/>
                <w:szCs w:val="20"/>
              </w:rPr>
              <w:t xml:space="preserve">“, HAKOM ističe da ulazni troškovi ne ovise o pretpostavljenoj stopi </w:t>
            </w:r>
            <w:proofErr w:type="spellStart"/>
            <w:r>
              <w:rPr>
                <w:rFonts w:asciiTheme="minorHAnsi" w:hAnsiTheme="minorHAnsi" w:cstheme="minorHAnsi"/>
                <w:sz w:val="20"/>
                <w:szCs w:val="20"/>
              </w:rPr>
              <w:t>utilizacije</w:t>
            </w:r>
            <w:proofErr w:type="spellEnd"/>
            <w:r w:rsidR="007811A7">
              <w:rPr>
                <w:rFonts w:asciiTheme="minorHAnsi" w:hAnsiTheme="minorHAnsi" w:cstheme="minorHAnsi"/>
                <w:sz w:val="20"/>
                <w:szCs w:val="20"/>
              </w:rPr>
              <w:t xml:space="preserve">. Naime, kao što je </w:t>
            </w:r>
            <w:proofErr w:type="spellStart"/>
            <w:r w:rsidR="007811A7">
              <w:rPr>
                <w:rFonts w:asciiTheme="minorHAnsi" w:hAnsiTheme="minorHAnsi" w:cstheme="minorHAnsi"/>
                <w:sz w:val="20"/>
                <w:szCs w:val="20"/>
              </w:rPr>
              <w:t>Telemach</w:t>
            </w:r>
            <w:proofErr w:type="spellEnd"/>
            <w:r w:rsidR="007811A7">
              <w:rPr>
                <w:rFonts w:asciiTheme="minorHAnsi" w:hAnsiTheme="minorHAnsi" w:cstheme="minorHAnsi"/>
                <w:sz w:val="20"/>
                <w:szCs w:val="20"/>
              </w:rPr>
              <w:t xml:space="preserve"> vjerojatno upoznat, zadnje dvije godine došlo je do porasta stope inflacije i porasta troškova u svim djelatnostima, pa tako su porasli i određeni ulazni troškovi u troškovnom modelu. </w:t>
            </w:r>
          </w:p>
          <w:p w14:paraId="595A71E5" w14:textId="5F68D117" w:rsidR="007811A7" w:rsidRDefault="007811A7">
            <w:pPr>
              <w:ind w:left="39"/>
              <w:jc w:val="both"/>
              <w:rPr>
                <w:rFonts w:asciiTheme="minorHAnsi" w:hAnsiTheme="minorHAnsi" w:cstheme="minorHAnsi"/>
                <w:sz w:val="20"/>
                <w:szCs w:val="20"/>
              </w:rPr>
            </w:pPr>
            <w:r>
              <w:rPr>
                <w:rFonts w:asciiTheme="minorHAnsi" w:hAnsiTheme="minorHAnsi" w:cstheme="minorHAnsi"/>
                <w:sz w:val="20"/>
                <w:szCs w:val="20"/>
              </w:rPr>
              <w:t xml:space="preserve">Komentar </w:t>
            </w:r>
            <w:proofErr w:type="spellStart"/>
            <w:r>
              <w:rPr>
                <w:rFonts w:asciiTheme="minorHAnsi" w:hAnsiTheme="minorHAnsi" w:cstheme="minorHAnsi"/>
                <w:sz w:val="20"/>
                <w:szCs w:val="20"/>
              </w:rPr>
              <w:t>Telemacha</w:t>
            </w:r>
            <w:proofErr w:type="spellEnd"/>
            <w:r>
              <w:rPr>
                <w:rFonts w:asciiTheme="minorHAnsi" w:hAnsiTheme="minorHAnsi" w:cstheme="minorHAnsi"/>
                <w:sz w:val="20"/>
                <w:szCs w:val="20"/>
              </w:rPr>
              <w:t xml:space="preserve"> da „</w:t>
            </w:r>
            <w:r w:rsidRPr="00C14C99">
              <w:rPr>
                <w:rFonts w:asciiTheme="minorHAnsi" w:hAnsiTheme="minorHAnsi" w:cstheme="minorHAnsi"/>
                <w:i/>
                <w:sz w:val="20"/>
                <w:szCs w:val="20"/>
              </w:rPr>
              <w:t>Broj mrežnih elemenata koji su rezultat postupka ažuriranja ne odgovora realnom stanju i time se neispravno odražava na ulazne parametre, a u konačnici na troškove i veleprodajne naknade.</w:t>
            </w:r>
            <w:r>
              <w:rPr>
                <w:rFonts w:asciiTheme="minorHAnsi" w:hAnsiTheme="minorHAnsi" w:cstheme="minorHAnsi"/>
                <w:sz w:val="20"/>
                <w:szCs w:val="20"/>
              </w:rPr>
              <w:t xml:space="preserve">“ je nejasan jer se rezultati modela ne mogu ni na koji način odražavati na ulazne podatke, nego se ulazni podaci mogu održavati na rezultate modela pa u konačnici i na visinu veleprodajnih naknada. Međutim, HAKOM ističe da je cilj ovoga postupka ažurirati ulazne podatke kako bi model ispravno izračunavao troškove veleprodajnih usluga, a kako bi iste bile u skladu s regulatornom obvezom troškovne usmjerenosti veleprodajnih cijena te kako bi se kroz te veleprodajne cijene mogli ispravno </w:t>
            </w:r>
            <w:r>
              <w:rPr>
                <w:rFonts w:asciiTheme="minorHAnsi" w:hAnsiTheme="minorHAnsi" w:cstheme="minorHAnsi"/>
                <w:sz w:val="20"/>
                <w:szCs w:val="20"/>
              </w:rPr>
              <w:lastRenderedPageBreak/>
              <w:t>nadoknaditi troškovi tih usluga.</w:t>
            </w:r>
            <w:r w:rsidR="000E4FB2">
              <w:rPr>
                <w:rFonts w:asciiTheme="minorHAnsi" w:hAnsiTheme="minorHAnsi" w:cstheme="minorHAnsi"/>
                <w:sz w:val="20"/>
                <w:szCs w:val="20"/>
              </w:rPr>
              <w:t xml:space="preserve"> S druge strane, cilj ovoga postupka nije izbjegavanje povećanja veleprodajnih cijena ukoliko rezultati troškovnog modela ukazuju da je to potrebno.</w:t>
            </w:r>
          </w:p>
          <w:p w14:paraId="51955380" w14:textId="77777777" w:rsidR="00D22BC2" w:rsidRDefault="00D22BC2">
            <w:pPr>
              <w:ind w:left="39"/>
              <w:jc w:val="both"/>
              <w:rPr>
                <w:rFonts w:asciiTheme="minorHAnsi" w:hAnsiTheme="minorHAnsi" w:cstheme="minorHAnsi"/>
                <w:sz w:val="20"/>
                <w:szCs w:val="20"/>
              </w:rPr>
            </w:pPr>
          </w:p>
          <w:p w14:paraId="0006719E" w14:textId="0969D510" w:rsidR="00132EA6" w:rsidRPr="00710A50" w:rsidRDefault="00132EA6">
            <w:pPr>
              <w:ind w:left="39"/>
              <w:jc w:val="both"/>
              <w:rPr>
                <w:rFonts w:asciiTheme="minorHAnsi" w:hAnsiTheme="minorHAnsi" w:cstheme="minorHAnsi"/>
                <w:sz w:val="20"/>
                <w:szCs w:val="20"/>
              </w:rPr>
            </w:pPr>
          </w:p>
        </w:tc>
      </w:tr>
      <w:tr w:rsidR="00132EA6" w:rsidRPr="00CE310D" w14:paraId="3FF391F9"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A3009C5" w14:textId="22472F3D" w:rsidR="00132EA6" w:rsidRPr="00CE310D" w:rsidRDefault="00132EA6" w:rsidP="00132EA6">
            <w:pPr>
              <w:rPr>
                <w:rFonts w:asciiTheme="minorHAnsi" w:hAnsiTheme="minorHAnsi" w:cstheme="minorHAnsi"/>
                <w:b/>
                <w:bCs/>
              </w:rPr>
            </w:pPr>
            <w:r w:rsidRPr="00CE310D">
              <w:rPr>
                <w:rFonts w:asciiTheme="minorHAnsi" w:hAnsiTheme="minorHAnsi" w:cstheme="minorHAnsi"/>
                <w:b/>
                <w:bCs/>
              </w:rPr>
              <w:lastRenderedPageBreak/>
              <w:t xml:space="preserve">Zaprimljeni komentari na pitanje 2: </w:t>
            </w:r>
            <w:r w:rsidRPr="00CE310D">
              <w:rPr>
                <w:rFonts w:asciiTheme="minorHAnsi" w:hAnsiTheme="minorHAnsi" w:cstheme="minorHAnsi"/>
              </w:rPr>
              <w:t>Koje je vaše mišljenje o ažuriranim ulaznim podacima o potražnji?</w:t>
            </w:r>
            <w:r w:rsidRPr="00CE310D">
              <w:rPr>
                <w:rFonts w:asciiTheme="minorHAnsi" w:hAnsiTheme="minorHAnsi" w:cstheme="minorHAnsi"/>
                <w:b/>
                <w:bCs/>
              </w:rPr>
              <w:t xml:space="preserve"> </w:t>
            </w:r>
          </w:p>
        </w:tc>
      </w:tr>
      <w:tr w:rsidR="00132EA6" w:rsidRPr="00CE310D" w14:paraId="09A337E6" w14:textId="77777777" w:rsidTr="001B2383">
        <w:tblPrEx>
          <w:tblCellMar>
            <w:left w:w="108" w:type="dxa"/>
            <w:right w:w="108" w:type="dxa"/>
          </w:tblCellMar>
        </w:tblPrEx>
        <w:tc>
          <w:tcPr>
            <w:tcW w:w="215" w:type="pct"/>
            <w:tcBorders>
              <w:top w:val="single" w:sz="6" w:space="0" w:color="CCCCCC"/>
              <w:left w:val="single" w:sz="6" w:space="0" w:color="CCCCCC"/>
              <w:bottom w:val="single" w:sz="6" w:space="0" w:color="CCCCCC"/>
              <w:right w:val="single" w:sz="6" w:space="0" w:color="CCCCCC"/>
            </w:tcBorders>
            <w:noWrap/>
          </w:tcPr>
          <w:p w14:paraId="59CF2287" w14:textId="1879FA3D" w:rsidR="00132EA6" w:rsidRPr="004B5A09" w:rsidRDefault="00132EA6" w:rsidP="00132EA6">
            <w:pPr>
              <w:rPr>
                <w:rFonts w:asciiTheme="minorHAnsi" w:hAnsiTheme="minorHAnsi" w:cstheme="minorHAnsi"/>
                <w:sz w:val="20"/>
                <w:szCs w:val="20"/>
              </w:rPr>
            </w:pPr>
            <w:r w:rsidRPr="004B5A09">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Pr>
          <w:p w14:paraId="7A6C69B5" w14:textId="7237D52E" w:rsidR="00132EA6" w:rsidRPr="00C32BF3" w:rsidRDefault="00132EA6" w:rsidP="00132EA6">
            <w:pPr>
              <w:rPr>
                <w:rFonts w:asciiTheme="minorHAnsi" w:hAnsiTheme="minorHAnsi" w:cstheme="minorHAnsi"/>
                <w:sz w:val="20"/>
                <w:szCs w:val="20"/>
              </w:rPr>
            </w:pPr>
            <w:r w:rsidRPr="00C32BF3">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Pr>
          <w:p w14:paraId="1B28D6F2" w14:textId="191E6E9E"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U dijelu ažuriranja podataka o potražnji, HT iskazuje svoje nezadovoljstvo i neslaganje s predloženim načinom ažuriranja. Naime, HT navodi da su podaci za 2022. u modelu gotovo identični HT-ovim ulaznim podacima, dok podaci za buduća razdoblja ne prate aktualne vrijednosti i trendove, niti HT-ova predviđanja koja su dostavljena u sklopu ulaznih podataka za potrebe ažuriranja troškovnog modela. </w:t>
            </w:r>
            <w:r w:rsidR="00F737D6" w:rsidRPr="00CE310D">
              <w:rPr>
                <w:rFonts w:asciiTheme="minorHAnsi" w:hAnsiTheme="minorHAnsi" w:cstheme="minorHAnsi"/>
                <w:sz w:val="20"/>
                <w:szCs w:val="20"/>
              </w:rPr>
              <w:t>Stoga,</w:t>
            </w:r>
            <w:r w:rsidRPr="00CE310D">
              <w:rPr>
                <w:rFonts w:asciiTheme="minorHAnsi" w:hAnsiTheme="minorHAnsi" w:cstheme="minorHAnsi"/>
                <w:sz w:val="20"/>
                <w:szCs w:val="20"/>
              </w:rPr>
              <w:t xml:space="preserve"> HT ističe koje je navedeno posebice vidljivo u podacima o potražnji za uslugama koje koriste pristupnu optičku mrežu.</w:t>
            </w:r>
          </w:p>
          <w:p w14:paraId="08CAC7C0" w14:textId="77777777" w:rsidR="00132EA6" w:rsidRPr="00CE310D" w:rsidRDefault="00132EA6" w:rsidP="00132EA6">
            <w:pPr>
              <w:jc w:val="both"/>
              <w:rPr>
                <w:rFonts w:asciiTheme="minorHAnsi" w:hAnsiTheme="minorHAnsi" w:cstheme="minorHAnsi"/>
                <w:sz w:val="20"/>
                <w:szCs w:val="20"/>
              </w:rPr>
            </w:pPr>
          </w:p>
          <w:p w14:paraId="665DCF50" w14:textId="757EAD65"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HT navodi da jedan od ključnih aspekata ovog neslaganja je pretpostavka o parametru "Take </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za pristupnu optičku mrežu za 20</w:t>
            </w:r>
            <w:r w:rsidR="00F737D6" w:rsidRPr="00CE310D">
              <w:rPr>
                <w:rFonts w:asciiTheme="minorHAnsi" w:hAnsiTheme="minorHAnsi" w:cstheme="minorHAnsi"/>
                <w:sz w:val="20"/>
                <w:szCs w:val="20"/>
              </w:rPr>
              <w:t xml:space="preserve">27. Nadalje, </w:t>
            </w:r>
            <w:r w:rsidRPr="00CE310D">
              <w:rPr>
                <w:rFonts w:asciiTheme="minorHAnsi" w:hAnsiTheme="minorHAnsi" w:cstheme="minorHAnsi"/>
                <w:sz w:val="20"/>
                <w:szCs w:val="20"/>
              </w:rPr>
              <w:t>navedena pretpostavka nije ažurirana u trenutnom troškovnom modelu, iako su stvarni trendovi u izgradnji i korištenju HT pristupne optičke mreže nedvosmisleno pokazali da je pretpostavka koju je HAKOM nastavio koristiti u postojećem modelu netočna.</w:t>
            </w:r>
          </w:p>
          <w:p w14:paraId="37E7239A" w14:textId="77777777" w:rsidR="00132EA6" w:rsidRPr="00CE310D" w:rsidRDefault="00132EA6" w:rsidP="00132EA6">
            <w:pPr>
              <w:jc w:val="both"/>
              <w:rPr>
                <w:rFonts w:asciiTheme="minorHAnsi" w:hAnsiTheme="minorHAnsi" w:cstheme="minorHAnsi"/>
                <w:sz w:val="20"/>
                <w:szCs w:val="20"/>
              </w:rPr>
            </w:pPr>
          </w:p>
          <w:p w14:paraId="394DA83B" w14:textId="7BD03AB5"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noProof/>
              </w:rPr>
              <w:drawing>
                <wp:inline distT="0" distB="0" distL="0" distR="0" wp14:anchorId="72CFE4ED" wp14:editId="39456734">
                  <wp:extent cx="3517900" cy="1492250"/>
                  <wp:effectExtent l="0" t="0" r="6350" b="12700"/>
                  <wp:docPr id="4" name="Chart 4">
                    <a:extLst xmlns:a="http://schemas.openxmlformats.org/drawingml/2006/main">
                      <a:ext uri="{FF2B5EF4-FFF2-40B4-BE49-F238E27FC236}">
                        <a16:creationId xmlns:a16="http://schemas.microsoft.com/office/drawing/2014/main" id="{4CCA49B7-6C18-90F7-CC92-3FA66871D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3BBEBD" w14:textId="77777777" w:rsidR="00132EA6" w:rsidRPr="00CE310D" w:rsidRDefault="00132EA6" w:rsidP="00132EA6">
            <w:pPr>
              <w:pStyle w:val="Caption"/>
              <w:jc w:val="both"/>
              <w:rPr>
                <w:rFonts w:asciiTheme="minorHAnsi" w:hAnsiTheme="minorHAnsi" w:cstheme="minorHAnsi"/>
              </w:rPr>
            </w:pPr>
            <w:r w:rsidRPr="00CE310D">
              <w:rPr>
                <w:rFonts w:asciiTheme="minorHAnsi" w:hAnsiTheme="minorHAnsi" w:cstheme="minorHAnsi"/>
              </w:rPr>
              <w:t xml:space="preserve">Slika </w:t>
            </w:r>
            <w:r w:rsidR="00D137DE" w:rsidRPr="00CE310D">
              <w:rPr>
                <w:rFonts w:asciiTheme="minorHAnsi" w:hAnsiTheme="minorHAnsi" w:cstheme="minorHAnsi"/>
              </w:rPr>
              <w:fldChar w:fldCharType="begin"/>
            </w:r>
            <w:r w:rsidR="00D137DE" w:rsidRPr="00CE310D">
              <w:rPr>
                <w:rFonts w:asciiTheme="minorHAnsi" w:hAnsiTheme="minorHAnsi" w:cstheme="minorHAnsi"/>
              </w:rPr>
              <w:instrText xml:space="preserve"> SEQ Slika \* ARABIC </w:instrText>
            </w:r>
            <w:r w:rsidR="00D137DE" w:rsidRPr="00CE310D">
              <w:rPr>
                <w:rFonts w:asciiTheme="minorHAnsi" w:hAnsiTheme="minorHAnsi" w:cstheme="minorHAnsi"/>
              </w:rPr>
              <w:fldChar w:fldCharType="separate"/>
            </w:r>
            <w:r w:rsidRPr="00CE310D">
              <w:rPr>
                <w:rFonts w:asciiTheme="minorHAnsi" w:hAnsiTheme="minorHAnsi" w:cstheme="minorHAnsi"/>
                <w:noProof/>
              </w:rPr>
              <w:t>1</w:t>
            </w:r>
            <w:r w:rsidR="00D137DE" w:rsidRPr="00CE310D">
              <w:rPr>
                <w:rFonts w:asciiTheme="minorHAnsi" w:hAnsiTheme="minorHAnsi" w:cstheme="minorHAnsi"/>
                <w:noProof/>
              </w:rPr>
              <w:fldChar w:fldCharType="end"/>
            </w:r>
            <w:r w:rsidRPr="00CE310D">
              <w:rPr>
                <w:rFonts w:asciiTheme="minorHAnsi" w:hAnsiTheme="minorHAnsi" w:cstheme="minorHAnsi"/>
              </w:rPr>
              <w:t xml:space="preserve">- Take </w:t>
            </w:r>
            <w:proofErr w:type="spellStart"/>
            <w:r w:rsidRPr="00CE310D">
              <w:rPr>
                <w:rFonts w:asciiTheme="minorHAnsi" w:hAnsiTheme="minorHAnsi" w:cstheme="minorHAnsi"/>
              </w:rPr>
              <w:t>up</w:t>
            </w:r>
            <w:proofErr w:type="spellEnd"/>
            <w:r w:rsidRPr="00CE310D">
              <w:rPr>
                <w:rFonts w:asciiTheme="minorHAnsi" w:hAnsiTheme="minorHAnsi" w:cstheme="minorHAnsi"/>
              </w:rPr>
              <w:t xml:space="preserve"> Model 2020 vs Model 2023</w:t>
            </w:r>
          </w:p>
          <w:p w14:paraId="0866E662" w14:textId="0F055F33" w:rsidR="00132EA6" w:rsidRPr="00CE310D" w:rsidRDefault="00132EA6" w:rsidP="00132EA6">
            <w:pPr>
              <w:autoSpaceDE w:val="0"/>
              <w:autoSpaceDN w:val="0"/>
              <w:adjustRightInd w:val="0"/>
              <w:jc w:val="both"/>
              <w:rPr>
                <w:rFonts w:asciiTheme="minorHAnsi" w:hAnsiTheme="minorHAnsi" w:cstheme="minorHAnsi"/>
                <w:sz w:val="20"/>
                <w:szCs w:val="20"/>
              </w:rPr>
            </w:pPr>
            <w:r w:rsidRPr="00CE310D">
              <w:rPr>
                <w:rFonts w:asciiTheme="minorHAnsi" w:hAnsiTheme="minorHAnsi" w:cstheme="minorHAnsi"/>
                <w:sz w:val="20"/>
                <w:szCs w:val="20"/>
              </w:rPr>
              <w:t>Naime, HT ističe kako je vidljivo (slika 1) da se</w:t>
            </w:r>
            <w:r w:rsidRPr="00CE310D">
              <w:rPr>
                <w:rFonts w:asciiTheme="minorHAnsi" w:hAnsiTheme="minorHAnsi" w:cstheme="minorHAnsi"/>
              </w:rPr>
              <w:t xml:space="preserve"> </w:t>
            </w:r>
            <w:r w:rsidRPr="00CE310D">
              <w:rPr>
                <w:rFonts w:asciiTheme="minorHAnsi" w:hAnsiTheme="minorHAnsi" w:cstheme="minorHAnsi"/>
                <w:sz w:val="20"/>
                <w:szCs w:val="20"/>
              </w:rPr>
              <w:t xml:space="preserve">parametar "Take </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mijenja iz godine u godinu na način koji predviđa brži rast u trenutnom troškovnom modelu koji je predmet ažuriranja, iako stvarnost nije potvrdila pretpostavke sporijeg rasta iz postojećeg modela iz 2020. Također, HT ističe da je vidljiv</w:t>
            </w:r>
            <w:r w:rsidRPr="00CE310D">
              <w:rPr>
                <w:rFonts w:asciiTheme="minorHAnsi" w:hAnsiTheme="minorHAnsi" w:cstheme="minorHAnsi"/>
              </w:rPr>
              <w:t xml:space="preserve"> </w:t>
            </w:r>
            <w:r w:rsidRPr="00CE310D">
              <w:rPr>
                <w:rFonts w:asciiTheme="minorHAnsi" w:hAnsiTheme="minorHAnsi" w:cstheme="minorHAnsi"/>
                <w:sz w:val="20"/>
                <w:szCs w:val="20"/>
              </w:rPr>
              <w:t>nesklad između HAKOM-ovih pretpostavki za Model 2020 i pretpostavki za Model 2023 koje su za proteklo razdoblje (2021-2023 – razdoblje za koji su izračunate važeće veleprodajne cijene) dijelom usklađene sa stvarnim podacima.</w:t>
            </w:r>
          </w:p>
          <w:p w14:paraId="5C21F261" w14:textId="1D5C5EB0" w:rsidR="00132EA6" w:rsidRPr="00CE310D" w:rsidRDefault="00132EA6" w:rsidP="00132EA6">
            <w:pPr>
              <w:autoSpaceDE w:val="0"/>
              <w:autoSpaceDN w:val="0"/>
              <w:adjustRightInd w:val="0"/>
              <w:jc w:val="both"/>
              <w:rPr>
                <w:rFonts w:asciiTheme="minorHAnsi" w:hAnsiTheme="minorHAnsi" w:cstheme="minorHAnsi"/>
                <w:sz w:val="20"/>
                <w:szCs w:val="20"/>
              </w:rPr>
            </w:pPr>
          </w:p>
          <w:p w14:paraId="7FE7337E" w14:textId="54C61EFD"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Nadalje, HT ističe kako je HAKOM je značajno pogriješio ne samo u važećem modelu nego i u novom modelu, a ta greška je posebno očita za godinu 2023. za koju su postojali pokazatelji iz HAKOM-u dostupnih podataka za prva tri kvartala ove godine. Međutim, HT navodi da još veći problem predstavlja činjenica da HAKOM i dalje zadržava stav kako će potražnja za uslugama na optici u 2027. iznositi čak 45% dok isto nije potkrijepio niti jednim validnim argumentom osim te se sve svodi na stav HAKOM-a kako je HT-ov podatak o potražnji prenizak za učinkovitog operatora te kako HAKOM smatra da je 45% razuman postotak unatoč tome što protekle 3 godine pokazuju očitu grešku u toj pretpostavci. Dodatno, HT navodi da zadržavanja ovakvog stava problematično je i s aspekta Preporuke Europske komisije 2013/466/EU na koju se poziva i HAKOM. Naime, HT ističe kako predmetna Preporuka Europske komisije koja detaljnije govori o nediskriminaciji i troškovnim metodologijama u točci 26 jasno definira kako se pokrivanje troškova smatra ključnim načelom u troškovnom metodologiji te se njime operatorima osigurava mogućnost pokrivanja stvarno nastalih troškova i odgovarajući povrat na uloženi kapital, a što u slučaju implementacije „Take </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xml:space="preserve">“ na način kako je to trenutno učinjeno u modelu nije osigurano. </w:t>
            </w:r>
            <w:r w:rsidR="00C32BF3" w:rsidRPr="00CE310D">
              <w:rPr>
                <w:rFonts w:asciiTheme="minorHAnsi" w:hAnsiTheme="minorHAnsi" w:cstheme="minorHAnsi"/>
                <w:sz w:val="20"/>
                <w:szCs w:val="20"/>
              </w:rPr>
              <w:t>Nad</w:t>
            </w:r>
            <w:r w:rsidR="00C32BF3">
              <w:rPr>
                <w:rFonts w:asciiTheme="minorHAnsi" w:hAnsiTheme="minorHAnsi" w:cstheme="minorHAnsi"/>
                <w:sz w:val="20"/>
                <w:szCs w:val="20"/>
              </w:rPr>
              <w:t>a</w:t>
            </w:r>
            <w:r w:rsidR="00C32BF3" w:rsidRPr="00CE310D">
              <w:rPr>
                <w:rFonts w:asciiTheme="minorHAnsi" w:hAnsiTheme="minorHAnsi" w:cstheme="minorHAnsi"/>
                <w:sz w:val="20"/>
                <w:szCs w:val="20"/>
              </w:rPr>
              <w:t>lje</w:t>
            </w:r>
            <w:r w:rsidRPr="00CE310D">
              <w:rPr>
                <w:rFonts w:asciiTheme="minorHAnsi" w:hAnsiTheme="minorHAnsi" w:cstheme="minorHAnsi"/>
                <w:sz w:val="20"/>
                <w:szCs w:val="20"/>
              </w:rPr>
              <w:t>, HT isti</w:t>
            </w:r>
            <w:r w:rsidR="00EF29F9" w:rsidRPr="00CE310D">
              <w:rPr>
                <w:rFonts w:asciiTheme="minorHAnsi" w:hAnsiTheme="minorHAnsi" w:cstheme="minorHAnsi"/>
                <w:sz w:val="20"/>
                <w:szCs w:val="20"/>
              </w:rPr>
              <w:t>č</w:t>
            </w:r>
            <w:r w:rsidRPr="00CE310D">
              <w:rPr>
                <w:rFonts w:asciiTheme="minorHAnsi" w:hAnsiTheme="minorHAnsi" w:cstheme="minorHAnsi"/>
                <w:sz w:val="20"/>
                <w:szCs w:val="20"/>
              </w:rPr>
              <w:t xml:space="preserve">e da precijenjeni „Take </w:t>
            </w:r>
            <w:proofErr w:type="spellStart"/>
            <w:r w:rsidRPr="00CE310D">
              <w:rPr>
                <w:rFonts w:asciiTheme="minorHAnsi" w:hAnsiTheme="minorHAnsi" w:cstheme="minorHAnsi"/>
                <w:sz w:val="20"/>
                <w:szCs w:val="20"/>
              </w:rPr>
              <w:t>up</w:t>
            </w:r>
            <w:proofErr w:type="spellEnd"/>
            <w:r w:rsidRPr="00CE310D">
              <w:rPr>
                <w:rFonts w:asciiTheme="minorHAnsi" w:hAnsiTheme="minorHAnsi" w:cstheme="minorHAnsi"/>
                <w:sz w:val="20"/>
                <w:szCs w:val="20"/>
              </w:rPr>
              <w:t>“ u konačnici dovodi do jedinične cijene veleprodajnih proizvoda na optici koja nije dostatna kako bi se povratili troškovi utvrđeni troškovnim modelom.</w:t>
            </w:r>
            <w:r w:rsidRPr="00CE310D">
              <w:rPr>
                <w:rFonts w:asciiTheme="minorHAnsi" w:hAnsiTheme="minorHAnsi" w:cstheme="minorHAnsi"/>
              </w:rPr>
              <w:t xml:space="preserve"> </w:t>
            </w:r>
            <w:r w:rsidRPr="00CE310D">
              <w:rPr>
                <w:rFonts w:asciiTheme="minorHAnsi" w:hAnsiTheme="minorHAnsi" w:cstheme="minorHAnsi"/>
                <w:sz w:val="20"/>
                <w:szCs w:val="20"/>
              </w:rPr>
              <w:t xml:space="preserve">Kao dokaz za tu činjenicu, HT navodi da se lako može izračunati navedeno na način da se u model koji je korišten kako bi se odredile trenutno važeće cijene, s obzirom na protekli period implementira stvarna potražnja za proteklo razdoblje, a za buduće razdoblje zadrže stope rasta koje je HAKOM i inicijalno predložio (unatoč tome što HT smatra kako su iste preoptimistične) te razliku tako definiranih cijena pomnoži s brojem korisnika koji je HT imao u tom razdoblju (za kraj 2023. se koristi pretpostavka na osnovu dosadašnja tri kvartala). </w:t>
            </w:r>
            <w:r w:rsidR="00CE76AD" w:rsidRPr="00C14C99">
              <w:rPr>
                <w:rFonts w:asciiTheme="minorHAnsi" w:hAnsiTheme="minorHAnsi" w:cstheme="minorHAnsi"/>
                <w:sz w:val="20"/>
                <w:szCs w:val="20"/>
              </w:rPr>
              <w:t>Naime,</w:t>
            </w:r>
            <w:r w:rsidRPr="00C14C99">
              <w:rPr>
                <w:rFonts w:asciiTheme="minorHAnsi" w:hAnsiTheme="minorHAnsi" w:cstheme="minorHAnsi"/>
                <w:sz w:val="20"/>
                <w:szCs w:val="20"/>
              </w:rPr>
              <w:t xml:space="preserve"> HT ističe da ovakav izračun jasno pokazuje kako je HT zbog korištenja krivih pretpostavki ostvario minus od</w:t>
            </w:r>
            <w:r w:rsidR="00CD2D5F" w:rsidRPr="00C14C99">
              <w:rPr>
                <w:rFonts w:asciiTheme="minorHAnsi" w:hAnsiTheme="minorHAnsi" w:cstheme="minorHAnsi"/>
                <w:sz w:val="20"/>
                <w:szCs w:val="20"/>
              </w:rPr>
              <w:t xml:space="preserve"> </w:t>
            </w:r>
            <w:r w:rsidR="00CD2D5F" w:rsidRPr="00C14C99">
              <w:rPr>
                <w:rFonts w:ascii="Wingdings 2" w:hAnsi="Wingdings 2" w:cs="Wingdings 2"/>
              </w:rPr>
              <w:t></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14C99">
              <w:rPr>
                <w:rFonts w:asciiTheme="minorHAnsi" w:hAnsiTheme="minorHAnsi" w:cstheme="minorHAnsi"/>
                <w:sz w:val="20"/>
                <w:szCs w:val="20"/>
              </w:rPr>
              <w:t>.</w:t>
            </w:r>
          </w:p>
          <w:p w14:paraId="63AF68F9" w14:textId="77777777" w:rsidR="00132EA6" w:rsidRPr="00CE310D" w:rsidRDefault="00132EA6" w:rsidP="00132EA6">
            <w:pPr>
              <w:jc w:val="both"/>
              <w:rPr>
                <w:rFonts w:asciiTheme="minorHAnsi" w:hAnsiTheme="minorHAnsi" w:cstheme="minorHAnsi"/>
                <w:sz w:val="20"/>
                <w:szCs w:val="20"/>
              </w:rPr>
            </w:pPr>
          </w:p>
          <w:p w14:paraId="0E91CA6B"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Nadalje, HT ističe da zadržavanjem istih pretpostavki u novom modelu predmetni gubitak biti će i veći s obzirom na rast broja veleprodajnih </w:t>
            </w:r>
            <w:proofErr w:type="spellStart"/>
            <w:r w:rsidRPr="00CE310D">
              <w:rPr>
                <w:rFonts w:asciiTheme="minorHAnsi" w:hAnsiTheme="minorHAnsi" w:cstheme="minorHAnsi"/>
                <w:sz w:val="20"/>
                <w:szCs w:val="20"/>
              </w:rPr>
              <w:t>FTTH</w:t>
            </w:r>
            <w:proofErr w:type="spellEnd"/>
            <w:r w:rsidRPr="00CE310D">
              <w:rPr>
                <w:rFonts w:asciiTheme="minorHAnsi" w:hAnsiTheme="minorHAnsi" w:cstheme="minorHAnsi"/>
                <w:sz w:val="20"/>
                <w:szCs w:val="20"/>
              </w:rPr>
              <w:t xml:space="preserve"> korisnika (rast nije upitan ali je neusporedivo manji od onoga kojeg HAKOM predviđa u modelu).</w:t>
            </w:r>
          </w:p>
          <w:p w14:paraId="0A0F2252" w14:textId="418BBBF2" w:rsidR="00132EA6" w:rsidRDefault="00132EA6" w:rsidP="00132EA6">
            <w:pPr>
              <w:jc w:val="both"/>
              <w:rPr>
                <w:rFonts w:asciiTheme="minorHAnsi" w:hAnsiTheme="minorHAnsi" w:cstheme="minorHAnsi"/>
                <w:sz w:val="20"/>
                <w:szCs w:val="20"/>
              </w:rPr>
            </w:pPr>
          </w:p>
          <w:p w14:paraId="28B61512" w14:textId="77777777" w:rsidR="00CD2D5F" w:rsidRPr="00CE310D" w:rsidRDefault="00CD2D5F" w:rsidP="00132EA6">
            <w:pPr>
              <w:jc w:val="both"/>
              <w:rPr>
                <w:rFonts w:asciiTheme="minorHAnsi" w:hAnsiTheme="minorHAnsi" w:cstheme="minorHAnsi"/>
                <w:sz w:val="20"/>
                <w:szCs w:val="20"/>
              </w:rPr>
            </w:pPr>
          </w:p>
          <w:p w14:paraId="01A46727" w14:textId="41185853" w:rsidR="00132EA6" w:rsidRPr="00C14C99" w:rsidRDefault="00CD2D5F" w:rsidP="00132EA6">
            <w:pPr>
              <w:keepNext/>
              <w:jc w:val="both"/>
              <w:rPr>
                <w:rFonts w:asciiTheme="minorHAnsi" w:hAnsiTheme="minorHAnsi" w:cstheme="minorHAnsi"/>
              </w:rPr>
            </w:pPr>
            <w:r w:rsidRPr="00C14C99">
              <w:rPr>
                <w:rFonts w:ascii="Wingdings 2" w:hAnsi="Wingdings 2" w:cs="Wingdings 2"/>
              </w:rPr>
              <w:sym w:font="Wingdings" w:char="F022"/>
            </w:r>
            <w:r w:rsidRPr="00C14C99">
              <w:rPr>
                <w:rFonts w:ascii="Wingdings 2" w:hAnsi="Wingdings 2" w:cs="Wingdings 2"/>
              </w:rPr>
              <w:sym w:font="Wingdings" w:char="F022"/>
            </w:r>
            <w:r w:rsidRPr="00C14C99">
              <w:rPr>
                <w:rFonts w:ascii="Wingdings 2" w:hAnsi="Wingdings 2" w:cs="Wingdings 2"/>
              </w:rPr>
              <w:sym w:font="Wingdings" w:char="F022"/>
            </w:r>
          </w:p>
          <w:p w14:paraId="1B1601F6" w14:textId="77777777" w:rsidR="00132EA6" w:rsidRPr="00C14C99" w:rsidRDefault="00132EA6" w:rsidP="00132EA6">
            <w:pPr>
              <w:pStyle w:val="Caption"/>
              <w:jc w:val="both"/>
              <w:rPr>
                <w:rFonts w:asciiTheme="minorHAnsi" w:hAnsiTheme="minorHAnsi" w:cstheme="minorHAnsi"/>
              </w:rPr>
            </w:pPr>
            <w:r w:rsidRPr="00C14C99">
              <w:rPr>
                <w:rFonts w:asciiTheme="minorHAnsi" w:hAnsiTheme="minorHAnsi" w:cstheme="minorHAnsi"/>
              </w:rPr>
              <w:t xml:space="preserve">Slika </w:t>
            </w:r>
            <w:r w:rsidR="00D137DE" w:rsidRPr="00C14C99">
              <w:rPr>
                <w:rFonts w:asciiTheme="minorHAnsi" w:hAnsiTheme="minorHAnsi" w:cstheme="minorHAnsi"/>
              </w:rPr>
              <w:fldChar w:fldCharType="begin"/>
            </w:r>
            <w:r w:rsidR="00D137DE" w:rsidRPr="00C14C99">
              <w:rPr>
                <w:rFonts w:asciiTheme="minorHAnsi" w:hAnsiTheme="minorHAnsi" w:cstheme="minorHAnsi"/>
              </w:rPr>
              <w:instrText xml:space="preserve"> SEQ Slika \* ARABIC </w:instrText>
            </w:r>
            <w:r w:rsidR="00D137DE" w:rsidRPr="00C14C99">
              <w:rPr>
                <w:rFonts w:asciiTheme="minorHAnsi" w:hAnsiTheme="minorHAnsi" w:cstheme="minorHAnsi"/>
              </w:rPr>
              <w:fldChar w:fldCharType="separate"/>
            </w:r>
            <w:r w:rsidRPr="00C14C99">
              <w:rPr>
                <w:rFonts w:asciiTheme="minorHAnsi" w:hAnsiTheme="minorHAnsi" w:cstheme="minorHAnsi"/>
                <w:noProof/>
              </w:rPr>
              <w:t>2</w:t>
            </w:r>
            <w:r w:rsidR="00D137DE" w:rsidRPr="00C14C99">
              <w:rPr>
                <w:rFonts w:asciiTheme="minorHAnsi" w:hAnsiTheme="minorHAnsi" w:cstheme="minorHAnsi"/>
                <w:noProof/>
              </w:rPr>
              <w:fldChar w:fldCharType="end"/>
            </w:r>
            <w:r w:rsidRPr="00C14C99">
              <w:rPr>
                <w:rFonts w:asciiTheme="minorHAnsi" w:hAnsiTheme="minorHAnsi" w:cstheme="minorHAnsi"/>
              </w:rPr>
              <w:t xml:space="preserve">- Potražnja Model 2020 vs Model 2023 </w:t>
            </w:r>
          </w:p>
          <w:p w14:paraId="3655F616" w14:textId="20324336" w:rsidR="00132EA6" w:rsidRPr="00C14C99" w:rsidRDefault="00132EA6" w:rsidP="00132EA6">
            <w:pPr>
              <w:jc w:val="both"/>
              <w:rPr>
                <w:rFonts w:asciiTheme="minorHAnsi" w:hAnsiTheme="minorHAnsi" w:cstheme="minorHAnsi"/>
                <w:sz w:val="20"/>
                <w:szCs w:val="20"/>
              </w:rPr>
            </w:pPr>
            <w:r w:rsidRPr="00C14C99">
              <w:rPr>
                <w:rFonts w:asciiTheme="minorHAnsi" w:hAnsiTheme="minorHAnsi" w:cstheme="minorHAnsi"/>
                <w:sz w:val="20"/>
                <w:szCs w:val="20"/>
              </w:rPr>
              <w:t xml:space="preserve">HT navodi kako su podaci o potražnji osnova za izračun „Take </w:t>
            </w:r>
            <w:proofErr w:type="spellStart"/>
            <w:r w:rsidRPr="00C14C99">
              <w:rPr>
                <w:rFonts w:asciiTheme="minorHAnsi" w:hAnsiTheme="minorHAnsi" w:cstheme="minorHAnsi"/>
                <w:sz w:val="20"/>
                <w:szCs w:val="20"/>
              </w:rPr>
              <w:t>up</w:t>
            </w:r>
            <w:proofErr w:type="spellEnd"/>
            <w:r w:rsidRPr="00C14C99">
              <w:rPr>
                <w:rFonts w:asciiTheme="minorHAnsi" w:hAnsiTheme="minorHAnsi" w:cstheme="minorHAnsi"/>
                <w:sz w:val="20"/>
                <w:szCs w:val="20"/>
              </w:rPr>
              <w:t xml:space="preserve">“ te je stoga vidljivo (slika2) da se </w:t>
            </w:r>
            <w:proofErr w:type="spellStart"/>
            <w:r w:rsidRPr="00C14C99">
              <w:rPr>
                <w:rFonts w:asciiTheme="minorHAnsi" w:hAnsiTheme="minorHAnsi" w:cstheme="minorHAnsi"/>
                <w:sz w:val="20"/>
                <w:szCs w:val="20"/>
              </w:rPr>
              <w:t>se</w:t>
            </w:r>
            <w:proofErr w:type="spellEnd"/>
            <w:r w:rsidRPr="00C14C99">
              <w:rPr>
                <w:rFonts w:asciiTheme="minorHAnsi" w:hAnsiTheme="minorHAnsi" w:cstheme="minorHAnsi"/>
                <w:sz w:val="20"/>
                <w:szCs w:val="20"/>
              </w:rPr>
              <w:t xml:space="preserve"> podaci o potražnji u Modelu 2020 razlikuju od Modela 2023.</w:t>
            </w:r>
            <w:r w:rsidR="00CE76AD" w:rsidRPr="00C14C99">
              <w:rPr>
                <w:rFonts w:asciiTheme="minorHAnsi" w:hAnsiTheme="minorHAnsi" w:cstheme="minorHAnsi"/>
                <w:sz w:val="20"/>
                <w:szCs w:val="20"/>
              </w:rPr>
              <w:t xml:space="preserve"> Stoga, jasno je vi</w:t>
            </w:r>
            <w:r w:rsidRPr="00C14C99">
              <w:rPr>
                <w:rFonts w:asciiTheme="minorHAnsi" w:hAnsiTheme="minorHAnsi" w:cstheme="minorHAnsi"/>
                <w:sz w:val="20"/>
                <w:szCs w:val="20"/>
              </w:rPr>
              <w:t xml:space="preserve">dljivo da HAKOM-ove pretpostavke već za 2023. odstupaju za otprilike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od stvarnih vrijednosti, što ima značajan utjecaj na konačne rezultate. </w:t>
            </w:r>
          </w:p>
          <w:p w14:paraId="1ACE866B" w14:textId="77777777" w:rsidR="00132EA6" w:rsidRPr="00C14C99" w:rsidRDefault="00132EA6" w:rsidP="00132EA6">
            <w:pPr>
              <w:jc w:val="both"/>
              <w:rPr>
                <w:rFonts w:asciiTheme="minorHAnsi" w:hAnsiTheme="minorHAnsi" w:cstheme="minorHAnsi"/>
                <w:sz w:val="20"/>
                <w:szCs w:val="20"/>
              </w:rPr>
            </w:pPr>
          </w:p>
          <w:p w14:paraId="00077F8E" w14:textId="4349408D" w:rsidR="00132EA6" w:rsidRPr="00CE310D" w:rsidRDefault="00132EA6" w:rsidP="00132EA6">
            <w:pPr>
              <w:jc w:val="both"/>
              <w:rPr>
                <w:rFonts w:asciiTheme="minorHAnsi" w:hAnsiTheme="minorHAnsi" w:cstheme="minorHAnsi"/>
                <w:sz w:val="20"/>
                <w:szCs w:val="20"/>
              </w:rPr>
            </w:pPr>
            <w:r w:rsidRPr="00C14C99">
              <w:rPr>
                <w:rFonts w:asciiTheme="minorHAnsi" w:hAnsiTheme="minorHAnsi" w:cstheme="minorHAnsi"/>
                <w:sz w:val="20"/>
                <w:szCs w:val="20"/>
              </w:rPr>
              <w:t>Nadalje, HT navodi kako je HAKOM za razdoblja 2021.i 2022.</w:t>
            </w:r>
            <w:r w:rsidRPr="00C14C99">
              <w:rPr>
                <w:rFonts w:asciiTheme="minorHAnsi" w:hAnsiTheme="minorHAnsi" w:cstheme="minorHAnsi"/>
              </w:rPr>
              <w:t xml:space="preserve"> </w:t>
            </w:r>
            <w:r w:rsidRPr="00C14C99">
              <w:rPr>
                <w:rFonts w:asciiTheme="minorHAnsi" w:hAnsiTheme="minorHAnsi" w:cstheme="minorHAnsi"/>
                <w:sz w:val="20"/>
                <w:szCs w:val="20"/>
              </w:rPr>
              <w:t xml:space="preserve">uskladio podatke s povijesnim stvarnim podacima koje je dostavio HT prilikom isporuke ulaznih podataka za potrebe ažuriranja trenutnog troškovnog modela, ali za 2023. HAKOM je dao procjenu koja značajno odstupa od stvarnih vrijednosti koje su HAKOM-u dostupni kroz kvartalna izvješća. Naime, HT ističe da podaci koje je HAKOM za 2023. primijenio u ažuriranom modelu odstupaju za otprilike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u odnosu na stvarne podatke iz rujna 2023.,</w:t>
            </w:r>
            <w:r w:rsidRPr="00CE310D">
              <w:rPr>
                <w:rFonts w:asciiTheme="minorHAnsi" w:hAnsiTheme="minorHAnsi" w:cstheme="minorHAnsi"/>
                <w:sz w:val="20"/>
                <w:szCs w:val="20"/>
              </w:rPr>
              <w:t xml:space="preserve"> koji su HAKOM-u isporučeni kroz kvartalne podatke (uz napomenu da su stvarni podaci u rujnu uvijek bili veći od godišnjeg prosjeka koji se uzima u obzir u troškovnom modelu).</w:t>
            </w:r>
          </w:p>
          <w:p w14:paraId="3AB52568" w14:textId="77777777" w:rsidR="00132EA6" w:rsidRPr="00CE310D" w:rsidRDefault="00132EA6" w:rsidP="00132EA6">
            <w:pPr>
              <w:jc w:val="both"/>
              <w:rPr>
                <w:rFonts w:asciiTheme="minorHAnsi" w:hAnsiTheme="minorHAnsi" w:cstheme="minorHAnsi"/>
                <w:sz w:val="20"/>
                <w:szCs w:val="20"/>
              </w:rPr>
            </w:pPr>
          </w:p>
          <w:p w14:paraId="5BC65827" w14:textId="61BB7714" w:rsidR="00132EA6" w:rsidRPr="00CE310D" w:rsidRDefault="00132EA6" w:rsidP="00132EA6">
            <w:pPr>
              <w:autoSpaceDE w:val="0"/>
              <w:autoSpaceDN w:val="0"/>
              <w:adjustRightInd w:val="0"/>
              <w:jc w:val="both"/>
              <w:rPr>
                <w:rFonts w:asciiTheme="minorHAnsi" w:hAnsiTheme="minorHAnsi" w:cstheme="minorHAnsi"/>
                <w:sz w:val="20"/>
                <w:szCs w:val="20"/>
              </w:rPr>
            </w:pPr>
            <w:r w:rsidRPr="00CE310D">
              <w:rPr>
                <w:rFonts w:asciiTheme="minorHAnsi" w:hAnsiTheme="minorHAnsi" w:cstheme="minorHAnsi"/>
                <w:sz w:val="20"/>
                <w:szCs w:val="20"/>
              </w:rPr>
              <w:t xml:space="preserve">S obzirom na stvarne trendove u izgradnji i korištenju HT pristupne optičke mreže, koji su jasno vidljivi iz priloženih podataka, te pokazuju da su pretpostavke HAKOM-a u postojećem i ažuriranom modelu bile netočne, HT smatra da ne postoje pouzdani pokazatelji koji bi potvrdili primijenjeni "Take </w:t>
            </w:r>
            <w:proofErr w:type="spellStart"/>
            <w:r w:rsidRPr="00CE310D">
              <w:rPr>
                <w:rFonts w:asciiTheme="minorHAnsi" w:hAnsiTheme="minorHAnsi" w:cstheme="minorHAnsi"/>
                <w:sz w:val="20"/>
                <w:szCs w:val="20"/>
              </w:rPr>
              <w:t>u</w:t>
            </w:r>
            <w:r w:rsidR="00CE76AD" w:rsidRPr="00CE310D">
              <w:rPr>
                <w:rFonts w:asciiTheme="minorHAnsi" w:hAnsiTheme="minorHAnsi" w:cstheme="minorHAnsi"/>
                <w:sz w:val="20"/>
                <w:szCs w:val="20"/>
              </w:rPr>
              <w:t>p</w:t>
            </w:r>
            <w:proofErr w:type="spellEnd"/>
            <w:r w:rsidR="00CE76AD" w:rsidRPr="00CE310D">
              <w:rPr>
                <w:rFonts w:asciiTheme="minorHAnsi" w:hAnsiTheme="minorHAnsi" w:cstheme="minorHAnsi"/>
                <w:sz w:val="20"/>
                <w:szCs w:val="20"/>
              </w:rPr>
              <w:t>" parametar u modelu. HT smatra</w:t>
            </w:r>
            <w:r w:rsidRPr="00CE310D">
              <w:rPr>
                <w:rFonts w:asciiTheme="minorHAnsi" w:hAnsiTheme="minorHAnsi" w:cstheme="minorHAnsi"/>
                <w:sz w:val="20"/>
                <w:szCs w:val="20"/>
              </w:rPr>
              <w:t xml:space="preserve"> da navedeno neslaganje ima potencijal značajno utjecati na daljnje planiranje i odlučivanje u telekomunikacijskom sektoru, te zahtijeva pažljivu analizu i korekciju kako bi se osigurala točna i pouzdana predviđanja za budućnost.</w:t>
            </w:r>
          </w:p>
          <w:p w14:paraId="6060B915" w14:textId="77777777" w:rsidR="00132EA6" w:rsidRPr="00CE310D" w:rsidRDefault="00132EA6" w:rsidP="00132EA6">
            <w:pPr>
              <w:autoSpaceDE w:val="0"/>
              <w:autoSpaceDN w:val="0"/>
              <w:adjustRightInd w:val="0"/>
              <w:jc w:val="both"/>
              <w:rPr>
                <w:rFonts w:asciiTheme="minorHAnsi" w:hAnsiTheme="minorHAnsi" w:cstheme="minorHAnsi"/>
                <w:sz w:val="20"/>
                <w:szCs w:val="20"/>
              </w:rPr>
            </w:pPr>
          </w:p>
          <w:p w14:paraId="07F3C50A" w14:textId="3872A632"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Stoga, HT ponovno poziva HAKOM da prihvati HT-ove stope rasta broja korisnika na </w:t>
            </w:r>
            <w:proofErr w:type="spellStart"/>
            <w:r w:rsidRPr="00CE310D">
              <w:rPr>
                <w:rFonts w:asciiTheme="minorHAnsi" w:hAnsiTheme="minorHAnsi" w:cstheme="minorHAnsi"/>
                <w:sz w:val="20"/>
                <w:szCs w:val="20"/>
              </w:rPr>
              <w:t>FTTH</w:t>
            </w:r>
            <w:proofErr w:type="spellEnd"/>
            <w:r w:rsidRPr="00CE310D">
              <w:rPr>
                <w:rFonts w:asciiTheme="minorHAnsi" w:hAnsiTheme="minorHAnsi" w:cstheme="minorHAnsi"/>
                <w:sz w:val="20"/>
                <w:szCs w:val="20"/>
              </w:rPr>
              <w:t xml:space="preserve"> infrastrukturi, a koju je dostavio u postupku prikupljanja podataka za potrebe ažuriranja postojećeg troškovnog modela, odnosno, da svakako spusti svoj inicijalni prijedlog očekivane </w:t>
            </w:r>
            <w:proofErr w:type="spellStart"/>
            <w:r w:rsidRPr="00CE310D">
              <w:rPr>
                <w:rFonts w:asciiTheme="minorHAnsi" w:hAnsiTheme="minorHAnsi" w:cstheme="minorHAnsi"/>
                <w:sz w:val="20"/>
                <w:szCs w:val="20"/>
              </w:rPr>
              <w:t>utilizacije</w:t>
            </w:r>
            <w:proofErr w:type="spellEnd"/>
            <w:r w:rsidRPr="00CE310D">
              <w:rPr>
                <w:rFonts w:asciiTheme="minorHAnsi" w:hAnsiTheme="minorHAnsi" w:cstheme="minorHAnsi"/>
                <w:sz w:val="20"/>
                <w:szCs w:val="20"/>
              </w:rPr>
              <w:t xml:space="preserve"> od 45% na razinu koja je realna u kontekstu hrvatskog tržišta i regulatornih ograničenja nametnutih HT-u na maloprodajnoj razini s obzirom da je jasno vidljivo koliko je ova pogrešna pretpostavka dovela do izra</w:t>
            </w:r>
            <w:r w:rsidR="00CE76AD" w:rsidRPr="00CE310D">
              <w:rPr>
                <w:rFonts w:asciiTheme="minorHAnsi" w:hAnsiTheme="minorHAnsi" w:cstheme="minorHAnsi"/>
                <w:sz w:val="20"/>
                <w:szCs w:val="20"/>
              </w:rPr>
              <w:t>čuna cijena koje ne osiguravaju</w:t>
            </w:r>
            <w:r w:rsidRPr="00CE310D">
              <w:rPr>
                <w:rFonts w:asciiTheme="minorHAnsi" w:hAnsiTheme="minorHAnsi" w:cstheme="minorHAnsi"/>
                <w:sz w:val="20"/>
                <w:szCs w:val="20"/>
              </w:rPr>
              <w:t xml:space="preserve"> pokrivanje stvarno nastalih troškova i odgovarajući povrat uloženog kapitala.</w:t>
            </w:r>
          </w:p>
          <w:p w14:paraId="2DDAD4E5" w14:textId="77777777" w:rsidR="00132EA6" w:rsidRPr="00CE310D" w:rsidRDefault="00132EA6" w:rsidP="00132EA6">
            <w:pPr>
              <w:jc w:val="both"/>
              <w:rPr>
                <w:rFonts w:asciiTheme="minorHAnsi" w:hAnsiTheme="minorHAnsi" w:cstheme="minorHAnsi"/>
                <w:sz w:val="20"/>
                <w:szCs w:val="20"/>
              </w:rPr>
            </w:pPr>
          </w:p>
          <w:p w14:paraId="3F261AE0" w14:textId="6C3E3FD1"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Dodatno, HT ističe da </w:t>
            </w:r>
            <w:r w:rsidR="00EF29F9" w:rsidRPr="00CE310D">
              <w:rPr>
                <w:rFonts w:asciiTheme="minorHAnsi" w:hAnsiTheme="minorHAnsi" w:cstheme="minorHAnsi"/>
                <w:sz w:val="20"/>
                <w:szCs w:val="20"/>
              </w:rPr>
              <w:t xml:space="preserve">je </w:t>
            </w:r>
            <w:r w:rsidRPr="00CE310D">
              <w:rPr>
                <w:rFonts w:asciiTheme="minorHAnsi" w:hAnsiTheme="minorHAnsi" w:cstheme="minorHAnsi"/>
                <w:sz w:val="20"/>
                <w:szCs w:val="20"/>
              </w:rPr>
              <w:t>potražnja veleprodajnih vodova neopravdano visoka i ima neopravdano visok rast koji HAKOM primjenjuje kod ažuriranja u troškovnom modelu.</w:t>
            </w:r>
          </w:p>
          <w:p w14:paraId="33E1DA5E" w14:textId="77777777" w:rsidR="00132EA6" w:rsidRPr="00CE310D" w:rsidRDefault="00132EA6" w:rsidP="00132EA6">
            <w:pPr>
              <w:jc w:val="both"/>
              <w:rPr>
                <w:rFonts w:asciiTheme="minorHAnsi" w:hAnsiTheme="minorHAnsi" w:cstheme="minorHAnsi"/>
                <w:sz w:val="20"/>
                <w:szCs w:val="20"/>
              </w:rPr>
            </w:pPr>
          </w:p>
          <w:p w14:paraId="7A831D90" w14:textId="60908328" w:rsidR="00132EA6" w:rsidRPr="00C14C99" w:rsidRDefault="00132EA6" w:rsidP="00132EA6">
            <w:pPr>
              <w:pStyle w:val="Caption"/>
              <w:keepNext/>
              <w:spacing w:after="0"/>
              <w:rPr>
                <w:rFonts w:asciiTheme="minorHAnsi" w:hAnsiTheme="minorHAnsi" w:cstheme="minorHAnsi"/>
              </w:rPr>
            </w:pPr>
            <w:r w:rsidRPr="00C14C99">
              <w:rPr>
                <w:rFonts w:asciiTheme="minorHAnsi" w:hAnsiTheme="minorHAnsi" w:cstheme="minorHAnsi"/>
              </w:rPr>
              <w:t xml:space="preserve">Tablica </w:t>
            </w:r>
            <w:r w:rsidR="00D137DE" w:rsidRPr="00C14C99">
              <w:rPr>
                <w:rFonts w:asciiTheme="minorHAnsi" w:hAnsiTheme="minorHAnsi" w:cstheme="minorHAnsi"/>
              </w:rPr>
              <w:fldChar w:fldCharType="begin"/>
            </w:r>
            <w:r w:rsidR="00D137DE" w:rsidRPr="00C14C99">
              <w:rPr>
                <w:rFonts w:asciiTheme="minorHAnsi" w:hAnsiTheme="minorHAnsi" w:cstheme="minorHAnsi"/>
              </w:rPr>
              <w:instrText xml:space="preserve"> SEQ Tablica \* ARABIC </w:instrText>
            </w:r>
            <w:r w:rsidR="00D137DE" w:rsidRPr="00C14C99">
              <w:rPr>
                <w:rFonts w:asciiTheme="minorHAnsi" w:hAnsiTheme="minorHAnsi" w:cstheme="minorHAnsi"/>
              </w:rPr>
              <w:fldChar w:fldCharType="separate"/>
            </w:r>
            <w:r w:rsidRPr="00C14C99">
              <w:rPr>
                <w:rFonts w:asciiTheme="minorHAnsi" w:hAnsiTheme="minorHAnsi" w:cstheme="minorHAnsi"/>
                <w:noProof/>
              </w:rPr>
              <w:t>1</w:t>
            </w:r>
            <w:r w:rsidR="00D137DE" w:rsidRPr="00C14C99">
              <w:rPr>
                <w:rFonts w:asciiTheme="minorHAnsi" w:hAnsiTheme="minorHAnsi" w:cstheme="minorHAnsi"/>
                <w:noProof/>
              </w:rPr>
              <w:fldChar w:fldCharType="end"/>
            </w:r>
            <w:r w:rsidRPr="00C14C99">
              <w:rPr>
                <w:rFonts w:asciiTheme="minorHAnsi" w:hAnsiTheme="minorHAnsi" w:cstheme="minorHAnsi"/>
              </w:rPr>
              <w:t xml:space="preserve"> – Potražnja za uslugom veleprodajnih vodova</w:t>
            </w:r>
          </w:p>
          <w:p w14:paraId="23047FC8" w14:textId="604BD20D" w:rsidR="00CD2D5F" w:rsidRPr="00C14C99" w:rsidRDefault="00CD2D5F" w:rsidP="00C14C99">
            <w:r w:rsidRPr="00C14C99">
              <w:sym w:font="Wingdings" w:char="F022"/>
            </w:r>
            <w:r w:rsidRPr="00C14C99">
              <w:sym w:font="Wingdings" w:char="F022"/>
            </w:r>
            <w:r w:rsidRPr="00C14C99">
              <w:sym w:font="Wingdings" w:char="F022"/>
            </w:r>
          </w:p>
          <w:p w14:paraId="424837BC" w14:textId="77777777" w:rsidR="00132EA6" w:rsidRPr="00C14C99" w:rsidRDefault="00132EA6" w:rsidP="00132EA6">
            <w:pPr>
              <w:jc w:val="both"/>
              <w:rPr>
                <w:rFonts w:asciiTheme="minorHAnsi" w:hAnsiTheme="minorHAnsi" w:cstheme="minorHAnsi"/>
                <w:sz w:val="20"/>
                <w:szCs w:val="20"/>
              </w:rPr>
            </w:pPr>
          </w:p>
          <w:p w14:paraId="64A06993" w14:textId="63B01061" w:rsidR="00132EA6" w:rsidRPr="00C14C99" w:rsidRDefault="00132EA6" w:rsidP="00132EA6">
            <w:pPr>
              <w:autoSpaceDE w:val="0"/>
              <w:autoSpaceDN w:val="0"/>
              <w:adjustRightInd w:val="0"/>
              <w:jc w:val="both"/>
              <w:rPr>
                <w:rFonts w:asciiTheme="minorHAnsi" w:hAnsiTheme="minorHAnsi" w:cstheme="minorHAnsi"/>
                <w:sz w:val="20"/>
                <w:szCs w:val="20"/>
              </w:rPr>
            </w:pPr>
            <w:r w:rsidRPr="00C14C99">
              <w:rPr>
                <w:rFonts w:asciiTheme="minorHAnsi" w:hAnsiTheme="minorHAnsi" w:cstheme="minorHAnsi"/>
                <w:sz w:val="20"/>
                <w:szCs w:val="20"/>
              </w:rPr>
              <w:t>HT ističe da iz kolone Komentar (tablica 1)</w:t>
            </w:r>
            <w:r w:rsidRPr="00C14C99">
              <w:rPr>
                <w:rFonts w:asciiTheme="minorHAnsi" w:hAnsiTheme="minorHAnsi" w:cstheme="minorHAnsi"/>
              </w:rPr>
              <w:t xml:space="preserve"> </w:t>
            </w:r>
            <w:r w:rsidRPr="00C14C99">
              <w:rPr>
                <w:rFonts w:asciiTheme="minorHAnsi" w:hAnsiTheme="minorHAnsi" w:cstheme="minorHAnsi"/>
                <w:sz w:val="20"/>
                <w:szCs w:val="20"/>
              </w:rPr>
              <w:t xml:space="preserve">vidljivo je da vodovi za HT mobilne stanice utječu samo na potražnju jednog </w:t>
            </w:r>
            <w:proofErr w:type="spellStart"/>
            <w:r w:rsidRPr="00C14C99">
              <w:rPr>
                <w:rFonts w:asciiTheme="minorHAnsi" w:hAnsiTheme="minorHAnsi" w:cstheme="minorHAnsi"/>
                <w:sz w:val="20"/>
                <w:szCs w:val="20"/>
              </w:rPr>
              <w:t>trunk</w:t>
            </w:r>
            <w:proofErr w:type="spellEnd"/>
            <w:r w:rsidRPr="00C14C99">
              <w:rPr>
                <w:rFonts w:asciiTheme="minorHAnsi" w:hAnsiTheme="minorHAnsi" w:cstheme="minorHAnsi"/>
                <w:sz w:val="20"/>
                <w:szCs w:val="20"/>
              </w:rPr>
              <w:t xml:space="preserve"> segmenta, </w:t>
            </w:r>
            <w:r w:rsidR="00CE76AD" w:rsidRPr="00C14C99">
              <w:rPr>
                <w:rFonts w:asciiTheme="minorHAnsi" w:hAnsiTheme="minorHAnsi" w:cstheme="minorHAnsi"/>
                <w:sz w:val="20"/>
                <w:szCs w:val="20"/>
              </w:rPr>
              <w:t>te navedeni</w:t>
            </w:r>
            <w:r w:rsidRPr="00C14C99">
              <w:rPr>
                <w:rFonts w:asciiTheme="minorHAnsi" w:hAnsiTheme="minorHAnsi" w:cstheme="minorHAnsi"/>
                <w:sz w:val="20"/>
                <w:szCs w:val="20"/>
              </w:rPr>
              <w:t xml:space="preserve"> vodovi nemaju utjecaj na druge segmente.</w:t>
            </w:r>
          </w:p>
          <w:p w14:paraId="6BAA9E2A" w14:textId="77777777" w:rsidR="00132EA6" w:rsidRPr="00C14C99" w:rsidRDefault="00132EA6" w:rsidP="00132EA6">
            <w:pPr>
              <w:autoSpaceDE w:val="0"/>
              <w:autoSpaceDN w:val="0"/>
              <w:adjustRightInd w:val="0"/>
              <w:jc w:val="both"/>
              <w:rPr>
                <w:rFonts w:asciiTheme="minorHAnsi" w:hAnsiTheme="minorHAnsi" w:cstheme="minorHAnsi"/>
                <w:sz w:val="20"/>
                <w:szCs w:val="20"/>
              </w:rPr>
            </w:pPr>
          </w:p>
          <w:p w14:paraId="0B82B177" w14:textId="4DF3055E" w:rsidR="00132EA6" w:rsidRPr="00C14C99" w:rsidRDefault="00132EA6" w:rsidP="00132EA6">
            <w:pPr>
              <w:jc w:val="both"/>
              <w:rPr>
                <w:rFonts w:asciiTheme="minorHAnsi" w:hAnsiTheme="minorHAnsi" w:cstheme="minorHAnsi"/>
                <w:sz w:val="20"/>
                <w:szCs w:val="20"/>
              </w:rPr>
            </w:pPr>
            <w:r w:rsidRPr="00C14C99">
              <w:rPr>
                <w:rFonts w:asciiTheme="minorHAnsi" w:hAnsiTheme="minorHAnsi" w:cstheme="minorHAnsi"/>
                <w:sz w:val="20"/>
                <w:szCs w:val="20"/>
              </w:rPr>
              <w:t>HT ističe kako je usporedbom dostavljenih podataka za 2022. sa dostavljenim kvartalnim podatcima ustanovljeno da nije došlo do rasta potražnje u zadn</w:t>
            </w:r>
            <w:r w:rsidR="00CE76AD" w:rsidRPr="00C14C99">
              <w:rPr>
                <w:rFonts w:asciiTheme="minorHAnsi" w:hAnsiTheme="minorHAnsi" w:cstheme="minorHAnsi"/>
                <w:sz w:val="20"/>
                <w:szCs w:val="20"/>
              </w:rPr>
              <w:t>jih 9 mjeseci. Nadalje HT smatra</w:t>
            </w:r>
            <w:r w:rsidRPr="00C14C99">
              <w:rPr>
                <w:rFonts w:asciiTheme="minorHAnsi" w:hAnsiTheme="minorHAnsi" w:cstheme="minorHAnsi"/>
                <w:sz w:val="20"/>
                <w:szCs w:val="20"/>
              </w:rPr>
              <w:t xml:space="preserve"> da je navedeno logično jer je završeno povećanje kapaciteta za potrebe 5G mreže. S druge strane porast potražnje kod veleprodajnih data proizvoda se dogodio u 2021. i dijelu 2022. zbog jako niskih cijena za Data centar povezivanje, pošto se ta usluga više ne nudi nema niti daljnjeg rasta veleprodajne potražnje.</w:t>
            </w:r>
          </w:p>
          <w:p w14:paraId="2FDECD9E" w14:textId="77777777" w:rsidR="00132EA6" w:rsidRPr="00C14C99" w:rsidRDefault="00132EA6" w:rsidP="00132EA6">
            <w:pPr>
              <w:jc w:val="both"/>
              <w:rPr>
                <w:rFonts w:asciiTheme="minorHAnsi" w:hAnsiTheme="minorHAnsi" w:cstheme="minorHAnsi"/>
                <w:sz w:val="20"/>
                <w:szCs w:val="20"/>
              </w:rPr>
            </w:pPr>
          </w:p>
          <w:p w14:paraId="2C204EB3" w14:textId="4BCA8908" w:rsidR="00132EA6" w:rsidRPr="00C14C99" w:rsidRDefault="00132EA6" w:rsidP="00132EA6">
            <w:pPr>
              <w:autoSpaceDE w:val="0"/>
              <w:autoSpaceDN w:val="0"/>
              <w:adjustRightInd w:val="0"/>
              <w:jc w:val="both"/>
              <w:rPr>
                <w:rFonts w:asciiTheme="minorHAnsi" w:hAnsiTheme="minorHAnsi" w:cstheme="minorHAnsi"/>
                <w:sz w:val="20"/>
                <w:szCs w:val="20"/>
              </w:rPr>
            </w:pPr>
            <w:r w:rsidRPr="00C14C99">
              <w:rPr>
                <w:rFonts w:asciiTheme="minorHAnsi" w:hAnsiTheme="minorHAnsi" w:cstheme="minorHAnsi"/>
                <w:sz w:val="20"/>
                <w:szCs w:val="20"/>
              </w:rPr>
              <w:lastRenderedPageBreak/>
              <w:t xml:space="preserve">Iz svega naprijed navedenog HT </w:t>
            </w:r>
            <w:r w:rsidR="00823BEB" w:rsidRPr="00C14C99">
              <w:rPr>
                <w:rFonts w:asciiTheme="minorHAnsi" w:hAnsiTheme="minorHAnsi" w:cstheme="minorHAnsi"/>
                <w:sz w:val="20"/>
                <w:szCs w:val="20"/>
              </w:rPr>
              <w:t>predlaže da se za 2022. i 2023</w:t>
            </w:r>
            <w:r w:rsidRPr="00C14C99">
              <w:rPr>
                <w:rFonts w:asciiTheme="minorHAnsi" w:hAnsiTheme="minorHAnsi" w:cstheme="minorHAnsi"/>
                <w:sz w:val="20"/>
                <w:szCs w:val="20"/>
              </w:rPr>
              <w:t xml:space="preserve">. koristite stvarni podaci koji su dostavljeni HAKOM-u kod dostave ulaznih podataka za potrebe ažuriranja troškovnog modela a rast u narednim godinama potrebno je sa trenutnih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smanjiti na maksimalno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w:t>
            </w:r>
          </w:p>
        </w:tc>
        <w:tc>
          <w:tcPr>
            <w:tcW w:w="1936" w:type="pct"/>
            <w:tcBorders>
              <w:top w:val="single" w:sz="6" w:space="0" w:color="CCCCCC"/>
              <w:left w:val="single" w:sz="6" w:space="0" w:color="CCCCCC"/>
              <w:bottom w:val="single" w:sz="6" w:space="0" w:color="CCCCCC"/>
              <w:right w:val="single" w:sz="6" w:space="0" w:color="CCCCCC"/>
            </w:tcBorders>
          </w:tcPr>
          <w:p w14:paraId="6089F806" w14:textId="5F58DD5D" w:rsidR="00D9416B" w:rsidRDefault="00D9416B" w:rsidP="002970F3">
            <w:pPr>
              <w:ind w:left="39"/>
              <w:jc w:val="both"/>
              <w:rPr>
                <w:rFonts w:asciiTheme="minorHAnsi" w:hAnsiTheme="minorHAnsi" w:cstheme="minorHAnsi"/>
                <w:sz w:val="20"/>
                <w:szCs w:val="20"/>
              </w:rPr>
            </w:pPr>
            <w:r w:rsidRPr="002970F3">
              <w:rPr>
                <w:rFonts w:asciiTheme="minorHAnsi" w:hAnsiTheme="minorHAnsi" w:cstheme="minorHAnsi"/>
                <w:sz w:val="20"/>
                <w:szCs w:val="20"/>
              </w:rPr>
              <w:lastRenderedPageBreak/>
              <w:t xml:space="preserve">HAKOM smatra da </w:t>
            </w:r>
            <w:r w:rsidR="00C32BF3" w:rsidRPr="002970F3">
              <w:rPr>
                <w:rFonts w:asciiTheme="minorHAnsi" w:hAnsiTheme="minorHAnsi" w:cstheme="minorHAnsi"/>
                <w:sz w:val="20"/>
                <w:szCs w:val="20"/>
              </w:rPr>
              <w:t xml:space="preserve">ne treba mijenjati </w:t>
            </w:r>
            <w:r w:rsidRPr="002970F3">
              <w:rPr>
                <w:rFonts w:asciiTheme="minorHAnsi" w:hAnsiTheme="minorHAnsi" w:cstheme="minorHAnsi"/>
                <w:sz w:val="20"/>
                <w:szCs w:val="20"/>
              </w:rPr>
              <w:t>pretpostavku da bi 2027</w:t>
            </w:r>
            <w:r w:rsidR="002970F3" w:rsidRPr="002970F3">
              <w:rPr>
                <w:rFonts w:asciiTheme="minorHAnsi" w:hAnsiTheme="minorHAnsi" w:cstheme="minorHAnsi"/>
                <w:sz w:val="20"/>
                <w:szCs w:val="20"/>
              </w:rPr>
              <w:t>.</w:t>
            </w:r>
            <w:r w:rsidRPr="002970F3">
              <w:rPr>
                <w:rFonts w:asciiTheme="minorHAnsi" w:hAnsiTheme="minorHAnsi" w:cstheme="minorHAnsi"/>
                <w:sz w:val="20"/>
                <w:szCs w:val="20"/>
              </w:rPr>
              <w:t xml:space="preserve"> take </w:t>
            </w:r>
            <w:proofErr w:type="spellStart"/>
            <w:r w:rsidRPr="002970F3">
              <w:rPr>
                <w:rFonts w:asciiTheme="minorHAnsi" w:hAnsiTheme="minorHAnsi" w:cstheme="minorHAnsi"/>
                <w:sz w:val="20"/>
                <w:szCs w:val="20"/>
              </w:rPr>
              <w:t>up</w:t>
            </w:r>
            <w:proofErr w:type="spellEnd"/>
            <w:r w:rsidRPr="002970F3">
              <w:rPr>
                <w:rFonts w:asciiTheme="minorHAnsi" w:hAnsiTheme="minorHAnsi" w:cstheme="minorHAnsi"/>
                <w:sz w:val="20"/>
                <w:szCs w:val="20"/>
              </w:rPr>
              <w:t xml:space="preserve"> u komercijalnim područjima trebao biti barem 45%, a u područjima koja se pokrivaju sredstvima iz EU fondova barem 60% jer smatra da bi učinkoviti operator koji gradi svjetlovodnu mrežu, a kako bi ta izgradnja bila isplativa</w:t>
            </w:r>
            <w:r w:rsidR="00C32BF3">
              <w:rPr>
                <w:rFonts w:asciiTheme="minorHAnsi" w:hAnsiTheme="minorHAnsi" w:cstheme="minorHAnsi"/>
                <w:sz w:val="20"/>
                <w:szCs w:val="20"/>
              </w:rPr>
              <w:t>,</w:t>
            </w:r>
            <w:r w:rsidRPr="002970F3">
              <w:rPr>
                <w:rFonts w:asciiTheme="minorHAnsi" w:hAnsiTheme="minorHAnsi" w:cstheme="minorHAnsi"/>
                <w:sz w:val="20"/>
                <w:szCs w:val="20"/>
              </w:rPr>
              <w:t xml:space="preserve"> trebao imati minimalno takvu stopu </w:t>
            </w:r>
            <w:proofErr w:type="spellStart"/>
            <w:r w:rsidRPr="002970F3">
              <w:rPr>
                <w:rFonts w:asciiTheme="minorHAnsi" w:hAnsiTheme="minorHAnsi" w:cstheme="minorHAnsi"/>
                <w:sz w:val="20"/>
                <w:szCs w:val="20"/>
              </w:rPr>
              <w:t>utilizacije</w:t>
            </w:r>
            <w:proofErr w:type="spellEnd"/>
            <w:r w:rsidRPr="002970F3">
              <w:rPr>
                <w:rFonts w:asciiTheme="minorHAnsi" w:hAnsiTheme="minorHAnsi" w:cstheme="minorHAnsi"/>
                <w:sz w:val="20"/>
                <w:szCs w:val="20"/>
              </w:rPr>
              <w:t xml:space="preserve">. Tome u prilog idu i dostupni podaci prosječnim take </w:t>
            </w:r>
            <w:proofErr w:type="spellStart"/>
            <w:r w:rsidRPr="002970F3">
              <w:rPr>
                <w:rFonts w:asciiTheme="minorHAnsi" w:hAnsiTheme="minorHAnsi" w:cstheme="minorHAnsi"/>
                <w:sz w:val="20"/>
                <w:szCs w:val="20"/>
              </w:rPr>
              <w:t>up</w:t>
            </w:r>
            <w:proofErr w:type="spellEnd"/>
            <w:r w:rsidRPr="002970F3">
              <w:rPr>
                <w:rFonts w:asciiTheme="minorHAnsi" w:hAnsiTheme="minorHAnsi" w:cstheme="minorHAnsi"/>
                <w:sz w:val="20"/>
                <w:szCs w:val="20"/>
              </w:rPr>
              <w:t xml:space="preserve"> vrijednostima u zemljama EU koje su već sada na razini od 50%. Argumenti HT-a da se zbog trenutnih nižih vrijednosti take </w:t>
            </w:r>
            <w:proofErr w:type="spellStart"/>
            <w:r w:rsidRPr="002970F3">
              <w:rPr>
                <w:rFonts w:asciiTheme="minorHAnsi" w:hAnsiTheme="minorHAnsi" w:cstheme="minorHAnsi"/>
                <w:sz w:val="20"/>
                <w:szCs w:val="20"/>
              </w:rPr>
              <w:t>up</w:t>
            </w:r>
            <w:proofErr w:type="spellEnd"/>
            <w:r w:rsidRPr="002970F3">
              <w:rPr>
                <w:rFonts w:asciiTheme="minorHAnsi" w:hAnsiTheme="minorHAnsi" w:cstheme="minorHAnsi"/>
                <w:sz w:val="20"/>
                <w:szCs w:val="20"/>
              </w:rPr>
              <w:t>-a treba mijenjati pretpostavka i za 2027</w:t>
            </w:r>
            <w:r w:rsidR="00C32BF3">
              <w:rPr>
                <w:rFonts w:asciiTheme="minorHAnsi" w:hAnsiTheme="minorHAnsi" w:cstheme="minorHAnsi"/>
                <w:sz w:val="20"/>
                <w:szCs w:val="20"/>
              </w:rPr>
              <w:t>.</w:t>
            </w:r>
            <w:r w:rsidRPr="002970F3">
              <w:rPr>
                <w:rFonts w:asciiTheme="minorHAnsi" w:hAnsiTheme="minorHAnsi" w:cstheme="minorHAnsi"/>
                <w:sz w:val="20"/>
                <w:szCs w:val="20"/>
              </w:rPr>
              <w:t xml:space="preserve"> nije opravdana jer HAKOM očekuje da će s obzirom na sve veće trendove potražnje za uslugama putem svjetlovodne mreže pretpostavka ipak biti ostvarena u 2027. Brži rast vrijednosti take </w:t>
            </w:r>
            <w:proofErr w:type="spellStart"/>
            <w:r w:rsidRPr="002970F3">
              <w:rPr>
                <w:rFonts w:asciiTheme="minorHAnsi" w:hAnsiTheme="minorHAnsi" w:cstheme="minorHAnsi"/>
                <w:sz w:val="20"/>
                <w:szCs w:val="20"/>
              </w:rPr>
              <w:t>up</w:t>
            </w:r>
            <w:proofErr w:type="spellEnd"/>
            <w:r w:rsidR="00C32BF3">
              <w:rPr>
                <w:rFonts w:asciiTheme="minorHAnsi" w:hAnsiTheme="minorHAnsi" w:cstheme="minorHAnsi"/>
                <w:sz w:val="20"/>
                <w:szCs w:val="20"/>
              </w:rPr>
              <w:t>-</w:t>
            </w:r>
            <w:r w:rsidRPr="002970F3">
              <w:rPr>
                <w:rFonts w:asciiTheme="minorHAnsi" w:hAnsiTheme="minorHAnsi" w:cstheme="minorHAnsi"/>
                <w:sz w:val="20"/>
                <w:szCs w:val="20"/>
              </w:rPr>
              <w:t>a proizlazi iz činjenice da će u budućem razdoblju brže rasti potražnja za uslugama putem svjetlovodne mreže nego što raste stopa pokrivanja. Naime, vrijednost take</w:t>
            </w:r>
            <w:r w:rsidR="00C32BF3">
              <w:rPr>
                <w:rFonts w:asciiTheme="minorHAnsi" w:hAnsiTheme="minorHAnsi" w:cstheme="minorHAnsi"/>
                <w:sz w:val="20"/>
                <w:szCs w:val="20"/>
              </w:rPr>
              <w:t xml:space="preserve"> </w:t>
            </w:r>
            <w:proofErr w:type="spellStart"/>
            <w:r w:rsidRPr="002970F3">
              <w:rPr>
                <w:rFonts w:asciiTheme="minorHAnsi" w:hAnsiTheme="minorHAnsi" w:cstheme="minorHAnsi"/>
                <w:sz w:val="20"/>
                <w:szCs w:val="20"/>
              </w:rPr>
              <w:t>up</w:t>
            </w:r>
            <w:proofErr w:type="spellEnd"/>
            <w:r w:rsidR="00C32BF3">
              <w:rPr>
                <w:rFonts w:asciiTheme="minorHAnsi" w:hAnsiTheme="minorHAnsi" w:cstheme="minorHAnsi"/>
                <w:sz w:val="20"/>
                <w:szCs w:val="20"/>
              </w:rPr>
              <w:t>-</w:t>
            </w:r>
            <w:r w:rsidRPr="002970F3">
              <w:rPr>
                <w:rFonts w:asciiTheme="minorHAnsi" w:hAnsiTheme="minorHAnsi" w:cstheme="minorHAnsi"/>
                <w:sz w:val="20"/>
                <w:szCs w:val="20"/>
              </w:rPr>
              <w:t>a je trenutno niža od očekivanja zbog toga jer je stopa rasta pokrivanja, zbog intenzivnih ulaganja, bila veća u proteklom razdoblju.</w:t>
            </w:r>
          </w:p>
          <w:p w14:paraId="33B5E617" w14:textId="06F82FA8" w:rsidR="001B2383" w:rsidRDefault="001B2383" w:rsidP="002970F3">
            <w:pPr>
              <w:ind w:left="39"/>
              <w:jc w:val="both"/>
              <w:rPr>
                <w:rFonts w:asciiTheme="minorHAnsi" w:hAnsiTheme="minorHAnsi" w:cstheme="minorHAnsi"/>
                <w:sz w:val="20"/>
                <w:szCs w:val="20"/>
              </w:rPr>
            </w:pPr>
            <w:r>
              <w:rPr>
                <w:rFonts w:asciiTheme="minorHAnsi" w:hAnsiTheme="minorHAnsi" w:cstheme="minorHAnsi"/>
                <w:sz w:val="20"/>
                <w:szCs w:val="20"/>
              </w:rPr>
              <w:t>Nadalje, HAKOM ističe da su procjene HAKOM-a o potražnji u troškovnom modelu, iako nisu 100% točne, ipak značajno točnije od prognozi potražnje HT-a (vidi donje slike).</w:t>
            </w:r>
          </w:p>
          <w:p w14:paraId="7A490509" w14:textId="213A1B07" w:rsidR="001B2383" w:rsidRDefault="001B2383" w:rsidP="002970F3">
            <w:pPr>
              <w:ind w:left="39"/>
              <w:jc w:val="both"/>
              <w:rPr>
                <w:rFonts w:asciiTheme="minorHAnsi" w:hAnsiTheme="minorHAnsi" w:cstheme="minorHAnsi"/>
                <w:sz w:val="20"/>
                <w:szCs w:val="20"/>
              </w:rPr>
            </w:pPr>
          </w:p>
          <w:p w14:paraId="1E1D0E49" w14:textId="39B12920" w:rsidR="001B2383" w:rsidRPr="00C14C99" w:rsidRDefault="00C14C99" w:rsidP="002970F3">
            <w:pPr>
              <w:ind w:left="39"/>
              <w:jc w:val="both"/>
              <w:rPr>
                <w:rFonts w:asciiTheme="minorHAnsi" w:hAnsiTheme="minorHAnsi" w:cstheme="minorHAnsi"/>
                <w:sz w:val="20"/>
                <w:szCs w:val="20"/>
              </w:rPr>
            </w:pPr>
            <w:r>
              <w:rPr>
                <w:rFonts w:asciiTheme="minorHAnsi" w:hAnsiTheme="minorHAnsi" w:cstheme="minorHAnsi"/>
                <w:sz w:val="20"/>
                <w:szCs w:val="20"/>
              </w:rPr>
              <w:t xml:space="preserve">Slika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p>
          <w:p w14:paraId="1396121F" w14:textId="5CCB988D" w:rsidR="001B2383" w:rsidRDefault="001B2383" w:rsidP="002970F3">
            <w:pPr>
              <w:ind w:left="39"/>
              <w:jc w:val="both"/>
              <w:rPr>
                <w:rFonts w:asciiTheme="minorHAnsi" w:hAnsiTheme="minorHAnsi" w:cstheme="minorHAnsi"/>
                <w:sz w:val="20"/>
                <w:szCs w:val="20"/>
              </w:rPr>
            </w:pPr>
          </w:p>
          <w:p w14:paraId="69367279" w14:textId="71B6FE60" w:rsidR="002970F3" w:rsidRPr="00C14C99" w:rsidRDefault="00C14C99" w:rsidP="002970F3">
            <w:pPr>
              <w:ind w:left="39"/>
              <w:jc w:val="both"/>
              <w:rPr>
                <w:rFonts w:asciiTheme="minorHAnsi" w:hAnsiTheme="minorHAnsi" w:cstheme="minorHAnsi"/>
                <w:sz w:val="20"/>
                <w:szCs w:val="20"/>
              </w:rPr>
            </w:pPr>
            <w:r>
              <w:rPr>
                <w:rFonts w:asciiTheme="minorHAnsi" w:hAnsiTheme="minorHAnsi" w:cstheme="minorHAnsi"/>
                <w:sz w:val="20"/>
                <w:szCs w:val="20"/>
              </w:rPr>
              <w:t xml:space="preserve"> Slika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p>
          <w:p w14:paraId="31E7BA05" w14:textId="77777777" w:rsidR="00094A83" w:rsidRDefault="00094A83" w:rsidP="002970F3">
            <w:pPr>
              <w:ind w:left="39"/>
              <w:jc w:val="both"/>
              <w:rPr>
                <w:rFonts w:asciiTheme="minorHAnsi" w:hAnsiTheme="minorHAnsi" w:cstheme="minorHAnsi"/>
                <w:sz w:val="20"/>
                <w:szCs w:val="20"/>
              </w:rPr>
            </w:pPr>
          </w:p>
          <w:p w14:paraId="730EBCC3" w14:textId="22B618A6" w:rsidR="00094A83" w:rsidRDefault="00094A83" w:rsidP="002970F3">
            <w:pPr>
              <w:ind w:left="39"/>
              <w:jc w:val="both"/>
              <w:rPr>
                <w:rFonts w:asciiTheme="minorHAnsi" w:hAnsiTheme="minorHAnsi" w:cstheme="minorHAnsi"/>
                <w:sz w:val="20"/>
                <w:szCs w:val="20"/>
              </w:rPr>
            </w:pPr>
            <w:r>
              <w:rPr>
                <w:rFonts w:asciiTheme="minorHAnsi" w:hAnsiTheme="minorHAnsi" w:cstheme="minorHAnsi"/>
                <w:sz w:val="20"/>
                <w:szCs w:val="20"/>
              </w:rPr>
              <w:t>Dakle, da je HAKOM prihvatio HT-ovu procjenu potražnje, učinio bi puno veću pogrešku, što bi rezultiralo prekomjernim povratom troškova</w:t>
            </w:r>
          </w:p>
          <w:p w14:paraId="0F944AB7" w14:textId="5C14D680" w:rsidR="005E707E" w:rsidRDefault="00D9416B" w:rsidP="002970F3">
            <w:pPr>
              <w:ind w:left="39"/>
              <w:jc w:val="both"/>
              <w:rPr>
                <w:rFonts w:asciiTheme="minorHAnsi" w:hAnsiTheme="minorHAnsi" w:cstheme="minorHAnsi"/>
                <w:sz w:val="20"/>
                <w:szCs w:val="20"/>
              </w:rPr>
            </w:pPr>
            <w:r w:rsidRPr="002970F3">
              <w:rPr>
                <w:rFonts w:asciiTheme="minorHAnsi" w:hAnsiTheme="minorHAnsi" w:cstheme="minorHAnsi"/>
                <w:sz w:val="20"/>
                <w:szCs w:val="20"/>
              </w:rPr>
              <w:t>HAKOM ističe da će potražnju u modelu uskladiti na način da vrijednosti potražnje za 2023</w:t>
            </w:r>
            <w:r w:rsidR="00C32BF3">
              <w:rPr>
                <w:rFonts w:asciiTheme="minorHAnsi" w:hAnsiTheme="minorHAnsi" w:cstheme="minorHAnsi"/>
                <w:sz w:val="20"/>
                <w:szCs w:val="20"/>
              </w:rPr>
              <w:t>.</w:t>
            </w:r>
            <w:r w:rsidRPr="002970F3">
              <w:rPr>
                <w:rFonts w:asciiTheme="minorHAnsi" w:hAnsiTheme="minorHAnsi" w:cstheme="minorHAnsi"/>
                <w:sz w:val="20"/>
                <w:szCs w:val="20"/>
              </w:rPr>
              <w:t xml:space="preserve"> budu u skladu s</w:t>
            </w:r>
            <w:r w:rsidR="00C32BF3">
              <w:rPr>
                <w:rFonts w:asciiTheme="minorHAnsi" w:hAnsiTheme="minorHAnsi" w:cstheme="minorHAnsi"/>
                <w:sz w:val="20"/>
                <w:szCs w:val="20"/>
              </w:rPr>
              <w:t>a stvarnim vrijednostima</w:t>
            </w:r>
            <w:r w:rsidRPr="002970F3">
              <w:rPr>
                <w:rFonts w:asciiTheme="minorHAnsi" w:hAnsiTheme="minorHAnsi" w:cstheme="minorHAnsi"/>
                <w:sz w:val="20"/>
                <w:szCs w:val="20"/>
              </w:rPr>
              <w:t xml:space="preserve"> dok će se pretpostavke o take </w:t>
            </w:r>
            <w:proofErr w:type="spellStart"/>
            <w:r w:rsidRPr="002970F3">
              <w:rPr>
                <w:rFonts w:asciiTheme="minorHAnsi" w:hAnsiTheme="minorHAnsi" w:cstheme="minorHAnsi"/>
                <w:sz w:val="20"/>
                <w:szCs w:val="20"/>
              </w:rPr>
              <w:t>up</w:t>
            </w:r>
            <w:proofErr w:type="spellEnd"/>
            <w:r w:rsidR="00C32BF3">
              <w:rPr>
                <w:rFonts w:asciiTheme="minorHAnsi" w:hAnsiTheme="minorHAnsi" w:cstheme="minorHAnsi"/>
                <w:sz w:val="20"/>
                <w:szCs w:val="20"/>
              </w:rPr>
              <w:t>-</w:t>
            </w:r>
            <w:r w:rsidRPr="002970F3">
              <w:rPr>
                <w:rFonts w:asciiTheme="minorHAnsi" w:hAnsiTheme="minorHAnsi" w:cstheme="minorHAnsi"/>
                <w:sz w:val="20"/>
                <w:szCs w:val="20"/>
              </w:rPr>
              <w:t>u u 2027</w:t>
            </w:r>
            <w:r w:rsidR="00C32BF3">
              <w:rPr>
                <w:rFonts w:asciiTheme="minorHAnsi" w:hAnsiTheme="minorHAnsi" w:cstheme="minorHAnsi"/>
                <w:sz w:val="20"/>
                <w:szCs w:val="20"/>
              </w:rPr>
              <w:t>.</w:t>
            </w:r>
            <w:r w:rsidRPr="002970F3">
              <w:rPr>
                <w:rFonts w:asciiTheme="minorHAnsi" w:hAnsiTheme="minorHAnsi" w:cstheme="minorHAnsi"/>
                <w:sz w:val="20"/>
                <w:szCs w:val="20"/>
              </w:rPr>
              <w:t xml:space="preserve"> zadržati. Što se tiče navodnih gubitaka koje HT ima zbog pogrešne procjene take </w:t>
            </w:r>
            <w:proofErr w:type="spellStart"/>
            <w:r w:rsidRPr="002970F3">
              <w:rPr>
                <w:rFonts w:asciiTheme="minorHAnsi" w:hAnsiTheme="minorHAnsi" w:cstheme="minorHAnsi"/>
                <w:sz w:val="20"/>
                <w:szCs w:val="20"/>
              </w:rPr>
              <w:t>up</w:t>
            </w:r>
            <w:proofErr w:type="spellEnd"/>
            <w:r w:rsidRPr="002970F3">
              <w:rPr>
                <w:rFonts w:asciiTheme="minorHAnsi" w:hAnsiTheme="minorHAnsi" w:cstheme="minorHAnsi"/>
                <w:sz w:val="20"/>
                <w:szCs w:val="20"/>
              </w:rPr>
              <w:t xml:space="preserve"> parametra, odnosno potražnje u troškovnom modelu, HAKOM ističe da HT zanemaruje činjenicu da bi s nižom potražnjom za uslugama putem svjetlovodne mreže u modelu bila implementirana veća potražnja za uslugama putem bakrene mreže</w:t>
            </w:r>
            <w:r w:rsidR="00A954D2">
              <w:rPr>
                <w:rFonts w:asciiTheme="minorHAnsi" w:hAnsiTheme="minorHAnsi" w:cstheme="minorHAnsi"/>
                <w:sz w:val="20"/>
                <w:szCs w:val="20"/>
              </w:rPr>
              <w:t xml:space="preserve">. To </w:t>
            </w:r>
            <w:r w:rsidRPr="002970F3">
              <w:rPr>
                <w:rFonts w:asciiTheme="minorHAnsi" w:hAnsiTheme="minorHAnsi" w:cstheme="minorHAnsi"/>
                <w:sz w:val="20"/>
                <w:szCs w:val="20"/>
              </w:rPr>
              <w:t xml:space="preserve">bi utjecalo na </w:t>
            </w:r>
            <w:r w:rsidR="00A954D2">
              <w:rPr>
                <w:rFonts w:asciiTheme="minorHAnsi" w:hAnsiTheme="minorHAnsi" w:cstheme="minorHAnsi"/>
                <w:sz w:val="20"/>
                <w:szCs w:val="20"/>
              </w:rPr>
              <w:t>niže</w:t>
            </w:r>
            <w:r w:rsidRPr="002970F3">
              <w:rPr>
                <w:rFonts w:asciiTheme="minorHAnsi" w:hAnsiTheme="minorHAnsi" w:cstheme="minorHAnsi"/>
                <w:sz w:val="20"/>
                <w:szCs w:val="20"/>
              </w:rPr>
              <w:t xml:space="preserve"> cijen</w:t>
            </w:r>
            <w:r w:rsidR="00A954D2">
              <w:rPr>
                <w:rFonts w:asciiTheme="minorHAnsi" w:hAnsiTheme="minorHAnsi" w:cstheme="minorHAnsi"/>
                <w:sz w:val="20"/>
                <w:szCs w:val="20"/>
              </w:rPr>
              <w:t>e</w:t>
            </w:r>
            <w:r w:rsidRPr="002970F3">
              <w:rPr>
                <w:rFonts w:asciiTheme="minorHAnsi" w:hAnsiTheme="minorHAnsi" w:cstheme="minorHAnsi"/>
                <w:sz w:val="20"/>
                <w:szCs w:val="20"/>
              </w:rPr>
              <w:t xml:space="preserve"> veleprodajnih usluga na bakru </w:t>
            </w:r>
            <w:r w:rsidR="00A954D2">
              <w:rPr>
                <w:rFonts w:asciiTheme="minorHAnsi" w:hAnsiTheme="minorHAnsi" w:cstheme="minorHAnsi"/>
                <w:sz w:val="20"/>
                <w:szCs w:val="20"/>
              </w:rPr>
              <w:t>u odnosu na cijene</w:t>
            </w:r>
            <w:r w:rsidRPr="002970F3">
              <w:rPr>
                <w:rFonts w:asciiTheme="minorHAnsi" w:hAnsiTheme="minorHAnsi" w:cstheme="minorHAnsi"/>
                <w:sz w:val="20"/>
                <w:szCs w:val="20"/>
              </w:rPr>
              <w:t xml:space="preserve"> određene </w:t>
            </w:r>
            <w:r w:rsidR="00A954D2">
              <w:rPr>
                <w:rFonts w:asciiTheme="minorHAnsi" w:hAnsiTheme="minorHAnsi" w:cstheme="minorHAnsi"/>
                <w:sz w:val="20"/>
                <w:szCs w:val="20"/>
              </w:rPr>
              <w:t>na temelju</w:t>
            </w:r>
            <w:r w:rsidRPr="002970F3">
              <w:rPr>
                <w:rFonts w:asciiTheme="minorHAnsi" w:hAnsiTheme="minorHAnsi" w:cstheme="minorHAnsi"/>
                <w:sz w:val="20"/>
                <w:szCs w:val="20"/>
              </w:rPr>
              <w:t xml:space="preserve"> „pogrešn</w:t>
            </w:r>
            <w:r w:rsidR="00A954D2">
              <w:rPr>
                <w:rFonts w:asciiTheme="minorHAnsi" w:hAnsiTheme="minorHAnsi" w:cstheme="minorHAnsi"/>
                <w:sz w:val="20"/>
                <w:szCs w:val="20"/>
              </w:rPr>
              <w:t>e</w:t>
            </w:r>
            <w:r w:rsidRPr="002970F3">
              <w:rPr>
                <w:rFonts w:asciiTheme="minorHAnsi" w:hAnsiTheme="minorHAnsi" w:cstheme="minorHAnsi"/>
                <w:sz w:val="20"/>
                <w:szCs w:val="20"/>
              </w:rPr>
              <w:t xml:space="preserve"> potražnj</w:t>
            </w:r>
            <w:r w:rsidR="00A954D2">
              <w:rPr>
                <w:rFonts w:asciiTheme="minorHAnsi" w:hAnsiTheme="minorHAnsi" w:cstheme="minorHAnsi"/>
                <w:sz w:val="20"/>
                <w:szCs w:val="20"/>
              </w:rPr>
              <w:t>e</w:t>
            </w:r>
            <w:r w:rsidRPr="002970F3">
              <w:rPr>
                <w:rFonts w:asciiTheme="minorHAnsi" w:hAnsiTheme="minorHAnsi" w:cstheme="minorHAnsi"/>
                <w:sz w:val="20"/>
                <w:szCs w:val="20"/>
              </w:rPr>
              <w:t>“</w:t>
            </w:r>
            <w:r w:rsidR="00A954D2">
              <w:rPr>
                <w:rFonts w:asciiTheme="minorHAnsi" w:hAnsiTheme="minorHAnsi" w:cstheme="minorHAnsi"/>
                <w:sz w:val="20"/>
                <w:szCs w:val="20"/>
              </w:rPr>
              <w:t xml:space="preserve">, </w:t>
            </w:r>
            <w:r w:rsidRPr="002970F3">
              <w:rPr>
                <w:rFonts w:asciiTheme="minorHAnsi" w:hAnsiTheme="minorHAnsi" w:cstheme="minorHAnsi"/>
                <w:sz w:val="20"/>
                <w:szCs w:val="20"/>
              </w:rPr>
              <w:t xml:space="preserve">što bi onda u cijelosti ili većim dijelom kompenziralo </w:t>
            </w:r>
            <w:r w:rsidR="006F10AB">
              <w:rPr>
                <w:rFonts w:asciiTheme="minorHAnsi" w:hAnsiTheme="minorHAnsi" w:cstheme="minorHAnsi"/>
                <w:sz w:val="20"/>
                <w:szCs w:val="20"/>
              </w:rPr>
              <w:t xml:space="preserve">razliku </w:t>
            </w:r>
            <w:r w:rsidRPr="002970F3">
              <w:rPr>
                <w:rFonts w:asciiTheme="minorHAnsi" w:hAnsiTheme="minorHAnsi" w:cstheme="minorHAnsi"/>
                <w:sz w:val="20"/>
                <w:szCs w:val="20"/>
              </w:rPr>
              <w:t>koj</w:t>
            </w:r>
            <w:r w:rsidR="006F10AB">
              <w:rPr>
                <w:rFonts w:asciiTheme="minorHAnsi" w:hAnsiTheme="minorHAnsi" w:cstheme="minorHAnsi"/>
                <w:sz w:val="20"/>
                <w:szCs w:val="20"/>
              </w:rPr>
              <w:t>u</w:t>
            </w:r>
            <w:r w:rsidRPr="002970F3">
              <w:rPr>
                <w:rFonts w:asciiTheme="minorHAnsi" w:hAnsiTheme="minorHAnsi" w:cstheme="minorHAnsi"/>
                <w:sz w:val="20"/>
                <w:szCs w:val="20"/>
              </w:rPr>
              <w:t xml:space="preserve"> bi HT  </w:t>
            </w:r>
            <w:r w:rsidR="006F10AB">
              <w:rPr>
                <w:rFonts w:asciiTheme="minorHAnsi" w:hAnsiTheme="minorHAnsi" w:cstheme="minorHAnsi"/>
                <w:sz w:val="20"/>
                <w:szCs w:val="20"/>
              </w:rPr>
              <w:t>ostvario</w:t>
            </w:r>
            <w:r w:rsidRPr="002970F3">
              <w:rPr>
                <w:rFonts w:asciiTheme="minorHAnsi" w:hAnsiTheme="minorHAnsi" w:cstheme="minorHAnsi"/>
                <w:sz w:val="20"/>
                <w:szCs w:val="20"/>
              </w:rPr>
              <w:t xml:space="preserve"> </w:t>
            </w:r>
            <w:r w:rsidR="006F10AB">
              <w:rPr>
                <w:rFonts w:asciiTheme="minorHAnsi" w:hAnsiTheme="minorHAnsi" w:cstheme="minorHAnsi"/>
                <w:sz w:val="20"/>
                <w:szCs w:val="20"/>
              </w:rPr>
              <w:t>da su bile određene</w:t>
            </w:r>
            <w:r w:rsidRPr="002970F3">
              <w:rPr>
                <w:rFonts w:asciiTheme="minorHAnsi" w:hAnsiTheme="minorHAnsi" w:cstheme="minorHAnsi"/>
                <w:sz w:val="20"/>
                <w:szCs w:val="20"/>
              </w:rPr>
              <w:t xml:space="preserve"> viš</w:t>
            </w:r>
            <w:r w:rsidR="006F10AB">
              <w:rPr>
                <w:rFonts w:asciiTheme="minorHAnsi" w:hAnsiTheme="minorHAnsi" w:cstheme="minorHAnsi"/>
                <w:sz w:val="20"/>
                <w:szCs w:val="20"/>
              </w:rPr>
              <w:t>e</w:t>
            </w:r>
            <w:r w:rsidRPr="002970F3">
              <w:rPr>
                <w:rFonts w:asciiTheme="minorHAnsi" w:hAnsiTheme="minorHAnsi" w:cstheme="minorHAnsi"/>
                <w:sz w:val="20"/>
                <w:szCs w:val="20"/>
              </w:rPr>
              <w:t xml:space="preserve"> veleprodajn</w:t>
            </w:r>
            <w:r w:rsidR="006F10AB">
              <w:rPr>
                <w:rFonts w:asciiTheme="minorHAnsi" w:hAnsiTheme="minorHAnsi" w:cstheme="minorHAnsi"/>
                <w:sz w:val="20"/>
                <w:szCs w:val="20"/>
              </w:rPr>
              <w:t>e</w:t>
            </w:r>
            <w:r w:rsidRPr="002970F3">
              <w:rPr>
                <w:rFonts w:asciiTheme="minorHAnsi" w:hAnsiTheme="minorHAnsi" w:cstheme="minorHAnsi"/>
                <w:sz w:val="20"/>
                <w:szCs w:val="20"/>
              </w:rPr>
              <w:t xml:space="preserve"> cijen</w:t>
            </w:r>
            <w:r w:rsidR="006F10AB">
              <w:rPr>
                <w:rFonts w:asciiTheme="minorHAnsi" w:hAnsiTheme="minorHAnsi" w:cstheme="minorHAnsi"/>
                <w:sz w:val="20"/>
                <w:szCs w:val="20"/>
              </w:rPr>
              <w:t>e</w:t>
            </w:r>
            <w:r w:rsidRPr="002970F3">
              <w:rPr>
                <w:rFonts w:asciiTheme="minorHAnsi" w:hAnsiTheme="minorHAnsi" w:cstheme="minorHAnsi"/>
                <w:sz w:val="20"/>
                <w:szCs w:val="20"/>
              </w:rPr>
              <w:t xml:space="preserve"> usluga </w:t>
            </w:r>
            <w:r w:rsidR="006F10AB">
              <w:rPr>
                <w:rFonts w:asciiTheme="minorHAnsi" w:hAnsiTheme="minorHAnsi" w:cstheme="minorHAnsi"/>
                <w:sz w:val="20"/>
                <w:szCs w:val="20"/>
              </w:rPr>
              <w:t xml:space="preserve">koje se pružaju </w:t>
            </w:r>
            <w:r w:rsidRPr="002970F3">
              <w:rPr>
                <w:rFonts w:asciiTheme="minorHAnsi" w:hAnsiTheme="minorHAnsi" w:cstheme="minorHAnsi"/>
                <w:sz w:val="20"/>
                <w:szCs w:val="20"/>
              </w:rPr>
              <w:t>putem svjetlovodnih mreža</w:t>
            </w:r>
            <w:r w:rsidR="006F10AB">
              <w:rPr>
                <w:rFonts w:asciiTheme="minorHAnsi" w:hAnsiTheme="minorHAnsi" w:cstheme="minorHAnsi"/>
                <w:sz w:val="20"/>
                <w:szCs w:val="20"/>
              </w:rPr>
              <w:t>, a</w:t>
            </w:r>
            <w:r w:rsidRPr="002970F3">
              <w:rPr>
                <w:rFonts w:asciiTheme="minorHAnsi" w:hAnsiTheme="minorHAnsi" w:cstheme="minorHAnsi"/>
                <w:sz w:val="20"/>
                <w:szCs w:val="20"/>
              </w:rPr>
              <w:t xml:space="preserve"> uslijed niže potražnje za njima.</w:t>
            </w:r>
          </w:p>
          <w:p w14:paraId="498010E4" w14:textId="77777777" w:rsidR="005E707E" w:rsidRDefault="005E707E" w:rsidP="002970F3">
            <w:pPr>
              <w:ind w:left="39"/>
              <w:jc w:val="both"/>
              <w:rPr>
                <w:rFonts w:asciiTheme="minorHAnsi" w:hAnsiTheme="minorHAnsi" w:cstheme="minorHAnsi"/>
                <w:sz w:val="20"/>
                <w:szCs w:val="20"/>
              </w:rPr>
            </w:pPr>
          </w:p>
          <w:p w14:paraId="54FE9D30" w14:textId="77777777" w:rsidR="005E707E" w:rsidRDefault="005E707E" w:rsidP="002970F3">
            <w:pPr>
              <w:ind w:left="39"/>
              <w:jc w:val="both"/>
              <w:rPr>
                <w:rFonts w:asciiTheme="minorHAnsi" w:hAnsiTheme="minorHAnsi" w:cstheme="minorHAnsi"/>
                <w:sz w:val="20"/>
                <w:szCs w:val="20"/>
              </w:rPr>
            </w:pPr>
          </w:p>
          <w:p w14:paraId="544C46F3" w14:textId="77777777" w:rsidR="005E707E" w:rsidRDefault="005E707E" w:rsidP="002970F3">
            <w:pPr>
              <w:ind w:left="39"/>
              <w:jc w:val="both"/>
              <w:rPr>
                <w:rFonts w:asciiTheme="minorHAnsi" w:hAnsiTheme="minorHAnsi" w:cstheme="minorHAnsi"/>
                <w:sz w:val="20"/>
                <w:szCs w:val="20"/>
              </w:rPr>
            </w:pPr>
          </w:p>
          <w:p w14:paraId="433FBDEE" w14:textId="2A073AE9" w:rsidR="00D9416B" w:rsidRDefault="00D9416B" w:rsidP="002970F3">
            <w:pPr>
              <w:ind w:left="39"/>
              <w:jc w:val="both"/>
              <w:rPr>
                <w:rFonts w:asciiTheme="minorHAnsi" w:hAnsiTheme="minorHAnsi" w:cstheme="minorHAnsi"/>
                <w:sz w:val="20"/>
                <w:szCs w:val="20"/>
              </w:rPr>
            </w:pPr>
            <w:r w:rsidRPr="002970F3">
              <w:rPr>
                <w:rFonts w:asciiTheme="minorHAnsi" w:hAnsiTheme="minorHAnsi" w:cstheme="minorHAnsi"/>
                <w:sz w:val="20"/>
                <w:szCs w:val="20"/>
              </w:rPr>
              <w:t>Dodatno, HAKOM ističe da je HT</w:t>
            </w:r>
            <w:r w:rsidR="00A954D2">
              <w:rPr>
                <w:rFonts w:asciiTheme="minorHAnsi" w:hAnsiTheme="minorHAnsi" w:cstheme="minorHAnsi"/>
                <w:sz w:val="20"/>
                <w:szCs w:val="20"/>
              </w:rPr>
              <w:t xml:space="preserve"> nakon donošenja odluka o veleprodajnim cijenama iz veljače 2021.</w:t>
            </w:r>
            <w:r w:rsidR="00A954D2" w:rsidRPr="002970F3">
              <w:rPr>
                <w:rFonts w:asciiTheme="minorHAnsi" w:hAnsiTheme="minorHAnsi" w:cstheme="minorHAnsi"/>
                <w:sz w:val="20"/>
                <w:szCs w:val="20"/>
              </w:rPr>
              <w:t xml:space="preserve"> </w:t>
            </w:r>
            <w:r w:rsidRPr="002970F3">
              <w:rPr>
                <w:rFonts w:asciiTheme="minorHAnsi" w:hAnsiTheme="minorHAnsi" w:cstheme="minorHAnsi"/>
                <w:sz w:val="20"/>
                <w:szCs w:val="20"/>
              </w:rPr>
              <w:t xml:space="preserve">dodatno snizio cijene veleprodajnih usluga </w:t>
            </w:r>
            <w:r w:rsidR="006F10AB">
              <w:rPr>
                <w:rFonts w:asciiTheme="minorHAnsi" w:hAnsiTheme="minorHAnsi" w:cstheme="minorHAnsi"/>
                <w:sz w:val="20"/>
                <w:szCs w:val="20"/>
              </w:rPr>
              <w:t xml:space="preserve">koje se pružaju </w:t>
            </w:r>
            <w:r w:rsidRPr="002970F3">
              <w:rPr>
                <w:rFonts w:asciiTheme="minorHAnsi" w:hAnsiTheme="minorHAnsi" w:cstheme="minorHAnsi"/>
                <w:sz w:val="20"/>
                <w:szCs w:val="20"/>
              </w:rPr>
              <w:t>pute</w:t>
            </w:r>
            <w:r w:rsidR="00C32BF3">
              <w:rPr>
                <w:rFonts w:asciiTheme="minorHAnsi" w:hAnsiTheme="minorHAnsi" w:cstheme="minorHAnsi"/>
                <w:sz w:val="20"/>
                <w:szCs w:val="20"/>
              </w:rPr>
              <w:t>m</w:t>
            </w:r>
            <w:r w:rsidRPr="002970F3">
              <w:rPr>
                <w:rFonts w:asciiTheme="minorHAnsi" w:hAnsiTheme="minorHAnsi" w:cstheme="minorHAnsi"/>
                <w:sz w:val="20"/>
                <w:szCs w:val="20"/>
              </w:rPr>
              <w:t xml:space="preserve"> svjetlovodne mreže,</w:t>
            </w:r>
            <w:r w:rsidR="00A954D2" w:rsidRPr="002970F3">
              <w:rPr>
                <w:rFonts w:asciiTheme="minorHAnsi" w:hAnsiTheme="minorHAnsi" w:cstheme="minorHAnsi"/>
                <w:sz w:val="20"/>
                <w:szCs w:val="20"/>
              </w:rPr>
              <w:t xml:space="preserve"> unatoč</w:t>
            </w:r>
            <w:r w:rsidR="00A954D2">
              <w:rPr>
                <w:rFonts w:asciiTheme="minorHAnsi" w:hAnsiTheme="minorHAnsi" w:cstheme="minorHAnsi"/>
                <w:sz w:val="20"/>
                <w:szCs w:val="20"/>
              </w:rPr>
              <w:t xml:space="preserve"> </w:t>
            </w:r>
            <w:r w:rsidR="00A954D2" w:rsidRPr="002970F3">
              <w:rPr>
                <w:rFonts w:asciiTheme="minorHAnsi" w:hAnsiTheme="minorHAnsi" w:cstheme="minorHAnsi"/>
                <w:sz w:val="20"/>
                <w:szCs w:val="20"/>
              </w:rPr>
              <w:t>tvrdnjama da je kao rezultat pogrešno procijenjene potražnje HAKOM odredio niže cijene veleprodajnih usluga na svjetlovodnoj mreži od stvarnog troška</w:t>
            </w:r>
            <w:r w:rsidR="00A954D2">
              <w:rPr>
                <w:rFonts w:asciiTheme="minorHAnsi" w:hAnsiTheme="minorHAnsi" w:cstheme="minorHAnsi"/>
                <w:sz w:val="20"/>
                <w:szCs w:val="20"/>
              </w:rPr>
              <w:t>,</w:t>
            </w:r>
            <w:r w:rsidR="00A954D2" w:rsidRPr="002970F3">
              <w:rPr>
                <w:rFonts w:asciiTheme="minorHAnsi" w:hAnsiTheme="minorHAnsi" w:cstheme="minorHAnsi"/>
                <w:sz w:val="20"/>
                <w:szCs w:val="20"/>
              </w:rPr>
              <w:t xml:space="preserve"> </w:t>
            </w:r>
            <w:r w:rsidRPr="002970F3">
              <w:rPr>
                <w:rFonts w:asciiTheme="minorHAnsi" w:hAnsiTheme="minorHAnsi" w:cstheme="minorHAnsi"/>
                <w:sz w:val="20"/>
                <w:szCs w:val="20"/>
              </w:rPr>
              <w:t xml:space="preserve">što je potpuno kontradiktorno tvrdnjama koje iznosi u svom komentaru. </w:t>
            </w:r>
          </w:p>
          <w:p w14:paraId="0968595E" w14:textId="0917D644" w:rsidR="00094A83" w:rsidRDefault="00094A83" w:rsidP="002970F3">
            <w:pPr>
              <w:ind w:left="39"/>
              <w:jc w:val="both"/>
              <w:rPr>
                <w:rFonts w:asciiTheme="minorHAnsi" w:hAnsiTheme="minorHAnsi" w:cstheme="minorHAnsi"/>
                <w:sz w:val="20"/>
                <w:szCs w:val="20"/>
              </w:rPr>
            </w:pPr>
          </w:p>
          <w:p w14:paraId="7283AA6B" w14:textId="2238325F" w:rsidR="00094A83" w:rsidRPr="00C14C99" w:rsidRDefault="00094A83" w:rsidP="002970F3">
            <w:pPr>
              <w:ind w:left="39"/>
              <w:jc w:val="both"/>
              <w:rPr>
                <w:rFonts w:asciiTheme="minorHAnsi" w:hAnsiTheme="minorHAnsi" w:cstheme="minorHAnsi"/>
                <w:sz w:val="20"/>
                <w:szCs w:val="20"/>
              </w:rPr>
            </w:pPr>
            <w:r>
              <w:rPr>
                <w:rFonts w:asciiTheme="minorHAnsi" w:hAnsiTheme="minorHAnsi" w:cstheme="minorHAnsi"/>
                <w:sz w:val="20"/>
                <w:szCs w:val="20"/>
              </w:rPr>
              <w:t xml:space="preserve">Što se tiče HT-ove tvrdnje da je </w:t>
            </w:r>
            <w:proofErr w:type="spellStart"/>
            <w:r>
              <w:rPr>
                <w:rFonts w:asciiTheme="minorHAnsi" w:hAnsiTheme="minorHAnsi" w:cstheme="minorHAnsi"/>
                <w:sz w:val="20"/>
                <w:szCs w:val="20"/>
              </w:rPr>
              <w:t>procjenjena</w:t>
            </w:r>
            <w:proofErr w:type="spellEnd"/>
            <w:r>
              <w:rPr>
                <w:rFonts w:asciiTheme="minorHAnsi" w:hAnsiTheme="minorHAnsi" w:cstheme="minorHAnsi"/>
                <w:sz w:val="20"/>
                <w:szCs w:val="20"/>
              </w:rPr>
              <w:t xml:space="preserve"> potražnja za uslugama visokokvalitetnog pristupa u troškovnom modelu neopravdano visoka, HAKOM ne prihvaća </w:t>
            </w:r>
            <w:r w:rsidR="00E515A2">
              <w:rPr>
                <w:rFonts w:asciiTheme="minorHAnsi" w:hAnsiTheme="minorHAnsi" w:cstheme="minorHAnsi"/>
                <w:sz w:val="20"/>
                <w:szCs w:val="20"/>
              </w:rPr>
              <w:t xml:space="preserve">tu tvrdnju HT-a. </w:t>
            </w:r>
            <w:r w:rsidR="00E515A2" w:rsidRPr="00C14C99">
              <w:rPr>
                <w:rFonts w:asciiTheme="minorHAnsi" w:hAnsiTheme="minorHAnsi" w:cstheme="minorHAnsi"/>
                <w:sz w:val="20"/>
                <w:szCs w:val="20"/>
              </w:rPr>
              <w:t xml:space="preserve">Naime, HAKOM ističe da je za protekle godine HAKOM koristio podatke o potražnji koje je HT dostavio, dok je za buduća razdoblja predvidio rast kapaciteta po stopi od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E515A2" w:rsidRPr="00C14C99">
              <w:rPr>
                <w:rFonts w:asciiTheme="minorHAnsi" w:hAnsiTheme="minorHAnsi" w:cstheme="minorHAnsi"/>
                <w:sz w:val="20"/>
                <w:szCs w:val="20"/>
              </w:rPr>
              <w:t xml:space="preserve">% godišnje. S obzirom da HT nije iznio nikakve valjane argumente zbog kojih bi više opravdano koristiti stopu rasta od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E515A2" w:rsidRPr="00C14C99">
              <w:rPr>
                <w:rFonts w:asciiTheme="minorHAnsi" w:hAnsiTheme="minorHAnsi" w:cstheme="minorHAnsi"/>
                <w:sz w:val="20"/>
                <w:szCs w:val="20"/>
              </w:rPr>
              <w:t xml:space="preserve">% godišnje, HAKOM će u modelu ostaviti </w:t>
            </w:r>
            <w:r w:rsidR="002A7CE2" w:rsidRPr="00C14C99">
              <w:rPr>
                <w:rFonts w:asciiTheme="minorHAnsi" w:hAnsiTheme="minorHAnsi" w:cstheme="minorHAnsi"/>
                <w:sz w:val="20"/>
                <w:szCs w:val="20"/>
              </w:rPr>
              <w:t xml:space="preserve">pretpostavljenu stopu rasta od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2A7CE2" w:rsidRPr="00C14C99">
              <w:rPr>
                <w:rFonts w:asciiTheme="minorHAnsi" w:hAnsiTheme="minorHAnsi" w:cstheme="minorHAnsi"/>
                <w:sz w:val="20"/>
                <w:szCs w:val="20"/>
              </w:rPr>
              <w:t>%.</w:t>
            </w:r>
            <w:r w:rsidR="002A7CE2">
              <w:rPr>
                <w:rFonts w:asciiTheme="minorHAnsi" w:hAnsiTheme="minorHAnsi" w:cstheme="minorHAnsi"/>
                <w:sz w:val="20"/>
                <w:szCs w:val="20"/>
              </w:rPr>
              <w:t xml:space="preserve"> Naime, HAKOM buduću stopu rasta kapaciteta zasniva na </w:t>
            </w:r>
            <w:r w:rsidR="00A317CD">
              <w:rPr>
                <w:rFonts w:asciiTheme="minorHAnsi" w:hAnsiTheme="minorHAnsi" w:cstheme="minorHAnsi"/>
                <w:sz w:val="20"/>
                <w:szCs w:val="20"/>
              </w:rPr>
              <w:t>kretanju st</w:t>
            </w:r>
            <w:r w:rsidR="002A7CE2">
              <w:rPr>
                <w:rFonts w:asciiTheme="minorHAnsi" w:hAnsiTheme="minorHAnsi" w:cstheme="minorHAnsi"/>
                <w:sz w:val="20"/>
                <w:szCs w:val="20"/>
              </w:rPr>
              <w:t>v</w:t>
            </w:r>
            <w:r w:rsidR="00A317CD">
              <w:rPr>
                <w:rFonts w:asciiTheme="minorHAnsi" w:hAnsiTheme="minorHAnsi" w:cstheme="minorHAnsi"/>
                <w:sz w:val="20"/>
                <w:szCs w:val="20"/>
              </w:rPr>
              <w:t>a</w:t>
            </w:r>
            <w:r w:rsidR="002A7CE2">
              <w:rPr>
                <w:rFonts w:asciiTheme="minorHAnsi" w:hAnsiTheme="minorHAnsi" w:cstheme="minorHAnsi"/>
                <w:sz w:val="20"/>
                <w:szCs w:val="20"/>
              </w:rPr>
              <w:t>rne potražnje u proteklom razdoblju gdje je u 2021 u odnosu 2020 ukupni kapacitet (</w:t>
            </w:r>
            <w:r w:rsidR="00A317CD">
              <w:rPr>
                <w:rFonts w:asciiTheme="minorHAnsi" w:hAnsiTheme="minorHAnsi" w:cstheme="minorHAnsi"/>
                <w:sz w:val="20"/>
                <w:szCs w:val="20"/>
              </w:rPr>
              <w:t xml:space="preserve">ukupni </w:t>
            </w:r>
            <w:r w:rsidR="002A7CE2">
              <w:rPr>
                <w:rFonts w:asciiTheme="minorHAnsi" w:hAnsiTheme="minorHAnsi" w:cstheme="minorHAnsi"/>
                <w:sz w:val="20"/>
                <w:szCs w:val="20"/>
              </w:rPr>
              <w:t xml:space="preserve">maloprodajni i veleprodajni) rastao po stopi od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2A7CE2" w:rsidRPr="00C14C99">
              <w:rPr>
                <w:rFonts w:asciiTheme="minorHAnsi" w:hAnsiTheme="minorHAnsi" w:cstheme="minorHAnsi"/>
                <w:sz w:val="20"/>
                <w:szCs w:val="20"/>
              </w:rPr>
              <w:t xml:space="preserve">%, a u 2022 u odnosu na 2021 po stopi od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2A7CE2" w:rsidRPr="00C14C99">
              <w:rPr>
                <w:rFonts w:asciiTheme="minorHAnsi" w:hAnsiTheme="minorHAnsi" w:cstheme="minorHAnsi"/>
                <w:sz w:val="20"/>
                <w:szCs w:val="20"/>
              </w:rPr>
              <w:t>%</w:t>
            </w:r>
            <w:r w:rsidR="00A317CD" w:rsidRPr="00C14C99">
              <w:rPr>
                <w:rFonts w:asciiTheme="minorHAnsi" w:hAnsiTheme="minorHAnsi" w:cstheme="minorHAnsi"/>
                <w:sz w:val="20"/>
                <w:szCs w:val="20"/>
              </w:rPr>
              <w:t xml:space="preserve">, a kada bi se uzeo u obzir samo ukupni kapacitet usluga zasnovanih na </w:t>
            </w:r>
            <w:proofErr w:type="spellStart"/>
            <w:r w:rsidR="00A317CD" w:rsidRPr="00C14C99">
              <w:rPr>
                <w:rFonts w:asciiTheme="minorHAnsi" w:hAnsiTheme="minorHAnsi" w:cstheme="minorHAnsi"/>
                <w:sz w:val="20"/>
                <w:szCs w:val="20"/>
              </w:rPr>
              <w:t>Ethernet</w:t>
            </w:r>
            <w:proofErr w:type="spellEnd"/>
            <w:r w:rsidR="00A317CD" w:rsidRPr="00C14C99">
              <w:rPr>
                <w:rFonts w:asciiTheme="minorHAnsi" w:hAnsiTheme="minorHAnsi" w:cstheme="minorHAnsi"/>
                <w:sz w:val="20"/>
                <w:szCs w:val="20"/>
              </w:rPr>
              <w:t xml:space="preserve"> tehnologiji taj rast je u 2021 iznosio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A317CD" w:rsidRPr="00C14C99">
              <w:rPr>
                <w:rFonts w:asciiTheme="minorHAnsi" w:hAnsiTheme="minorHAnsi" w:cstheme="minorHAnsi"/>
                <w:sz w:val="20"/>
                <w:szCs w:val="20"/>
              </w:rPr>
              <w:t xml:space="preserve">%, a u 2023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A317CD" w:rsidRPr="00C14C99">
              <w:rPr>
                <w:rFonts w:asciiTheme="minorHAnsi" w:hAnsiTheme="minorHAnsi" w:cstheme="minorHAnsi"/>
                <w:sz w:val="20"/>
                <w:szCs w:val="20"/>
              </w:rPr>
              <w:t>% u odnosu na prethodnu godinu</w:t>
            </w:r>
            <w:r w:rsidR="002A7CE2" w:rsidRPr="00C14C99">
              <w:rPr>
                <w:rFonts w:asciiTheme="minorHAnsi" w:hAnsiTheme="minorHAnsi" w:cstheme="minorHAnsi"/>
                <w:sz w:val="20"/>
                <w:szCs w:val="20"/>
              </w:rPr>
              <w:t>.</w:t>
            </w:r>
          </w:p>
          <w:p w14:paraId="3DB814BD" w14:textId="2B26BCA4" w:rsidR="002A7CE2" w:rsidRPr="00C14C99" w:rsidRDefault="002A7CE2" w:rsidP="002970F3">
            <w:pPr>
              <w:ind w:left="39"/>
              <w:jc w:val="both"/>
              <w:rPr>
                <w:rFonts w:asciiTheme="minorHAnsi" w:hAnsiTheme="minorHAnsi" w:cstheme="minorHAnsi"/>
                <w:sz w:val="20"/>
                <w:szCs w:val="20"/>
              </w:rPr>
            </w:pPr>
          </w:p>
          <w:p w14:paraId="081FAC9C" w14:textId="160CF813" w:rsidR="002A7CE2" w:rsidRPr="002970F3" w:rsidRDefault="00C14C99" w:rsidP="002970F3">
            <w:pPr>
              <w:ind w:left="39"/>
              <w:jc w:val="both"/>
              <w:rPr>
                <w:rFonts w:asciiTheme="minorHAnsi" w:hAnsiTheme="minorHAnsi" w:cstheme="minorHAnsi"/>
                <w:sz w:val="20"/>
                <w:szCs w:val="20"/>
              </w:rPr>
            </w:pPr>
            <w:r>
              <w:rPr>
                <w:rFonts w:asciiTheme="minorHAnsi" w:hAnsiTheme="minorHAnsi" w:cstheme="minorHAnsi"/>
                <w:sz w:val="20"/>
                <w:szCs w:val="20"/>
              </w:rPr>
              <w:t xml:space="preserve">Slika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p>
          <w:p w14:paraId="34B8A819" w14:textId="77777777" w:rsidR="00D9416B" w:rsidRPr="002970F3" w:rsidRDefault="00D9416B" w:rsidP="002970F3">
            <w:pPr>
              <w:ind w:left="39"/>
              <w:jc w:val="both"/>
              <w:rPr>
                <w:rFonts w:asciiTheme="minorHAnsi" w:hAnsiTheme="minorHAnsi" w:cstheme="minorHAnsi"/>
                <w:sz w:val="20"/>
                <w:szCs w:val="20"/>
              </w:rPr>
            </w:pPr>
          </w:p>
          <w:p w14:paraId="6E77EBF0" w14:textId="77777777" w:rsidR="00132EA6" w:rsidRPr="00C14C99" w:rsidRDefault="00132EA6" w:rsidP="00132EA6">
            <w:pPr>
              <w:ind w:left="39"/>
              <w:rPr>
                <w:rFonts w:asciiTheme="minorHAnsi" w:hAnsiTheme="minorHAnsi" w:cstheme="minorHAnsi"/>
                <w:b/>
                <w:sz w:val="20"/>
                <w:szCs w:val="20"/>
              </w:rPr>
            </w:pPr>
          </w:p>
        </w:tc>
      </w:tr>
      <w:tr w:rsidR="00132EA6" w:rsidRPr="00D374AD" w14:paraId="77F20546"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13ADE000" w14:textId="175B150B" w:rsidR="00132EA6" w:rsidRPr="006843E1" w:rsidRDefault="00132EA6" w:rsidP="00132EA6">
            <w:pPr>
              <w:rPr>
                <w:rFonts w:asciiTheme="minorHAnsi" w:hAnsiTheme="minorHAnsi" w:cstheme="minorHAnsi"/>
                <w:sz w:val="20"/>
                <w:szCs w:val="20"/>
              </w:rPr>
            </w:pPr>
            <w:r w:rsidRPr="006843E1">
              <w:rPr>
                <w:rFonts w:asciiTheme="minorHAnsi" w:hAnsiTheme="minorHAnsi" w:cstheme="minorHAnsi"/>
                <w:sz w:val="20"/>
                <w:szCs w:val="20"/>
              </w:rPr>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07710A2" w14:textId="5119BF6C" w:rsidR="00132EA6" w:rsidRPr="006843E1" w:rsidRDefault="00132EA6" w:rsidP="00132EA6">
            <w:pPr>
              <w:rPr>
                <w:rFonts w:asciiTheme="minorHAnsi" w:hAnsiTheme="minorHAnsi" w:cstheme="minorHAnsi"/>
                <w:sz w:val="20"/>
                <w:szCs w:val="20"/>
              </w:rPr>
            </w:pPr>
            <w:r w:rsidRPr="006843E1">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BA14428" w14:textId="5BEB823A" w:rsidR="00132EA6" w:rsidRPr="006843E1" w:rsidRDefault="00132EA6" w:rsidP="00132EA6">
            <w:pPr>
              <w:jc w:val="both"/>
              <w:rPr>
                <w:rFonts w:asciiTheme="minorHAnsi" w:hAnsiTheme="minorHAnsi" w:cstheme="minorHAnsi"/>
                <w:sz w:val="20"/>
                <w:szCs w:val="20"/>
              </w:rPr>
            </w:pPr>
            <w:r w:rsidRPr="006843E1">
              <w:rPr>
                <w:rFonts w:asciiTheme="minorHAnsi" w:hAnsiTheme="minorHAnsi" w:cstheme="minorHAnsi"/>
                <w:sz w:val="20"/>
                <w:szCs w:val="20"/>
              </w:rPr>
              <w:t xml:space="preserve">A1 smatra da su podaci o potražnji u dostavljenom troškovnom modelu (radni list 1A </w:t>
            </w:r>
            <w:proofErr w:type="spellStart"/>
            <w:r w:rsidRPr="006843E1">
              <w:rPr>
                <w:rFonts w:asciiTheme="minorHAnsi" w:hAnsiTheme="minorHAnsi" w:cstheme="minorHAnsi"/>
                <w:sz w:val="20"/>
                <w:szCs w:val="20"/>
              </w:rPr>
              <w:t>INP</w:t>
            </w:r>
            <w:proofErr w:type="spellEnd"/>
            <w:r w:rsidRPr="006843E1">
              <w:rPr>
                <w:rFonts w:asciiTheme="minorHAnsi" w:hAnsiTheme="minorHAnsi" w:cstheme="minorHAnsi"/>
                <w:sz w:val="20"/>
                <w:szCs w:val="20"/>
              </w:rPr>
              <w:t xml:space="preserve"> </w:t>
            </w:r>
            <w:proofErr w:type="spellStart"/>
            <w:r w:rsidRPr="006843E1">
              <w:rPr>
                <w:rFonts w:asciiTheme="minorHAnsi" w:hAnsiTheme="minorHAnsi" w:cstheme="minorHAnsi"/>
                <w:sz w:val="20"/>
                <w:szCs w:val="20"/>
              </w:rPr>
              <w:t>DEMAND</w:t>
            </w:r>
            <w:proofErr w:type="spellEnd"/>
            <w:r w:rsidRPr="006843E1">
              <w:rPr>
                <w:rFonts w:asciiTheme="minorHAnsi" w:hAnsiTheme="minorHAnsi" w:cstheme="minorHAnsi"/>
                <w:sz w:val="20"/>
                <w:szCs w:val="20"/>
              </w:rPr>
              <w:t xml:space="preserve">) neispravno ažurirani iz više razloga, a kako niže navode. </w:t>
            </w:r>
          </w:p>
          <w:p w14:paraId="74EFE400" w14:textId="77777777" w:rsidR="00CE76AD" w:rsidRPr="006843E1" w:rsidRDefault="00CE76AD" w:rsidP="00132EA6">
            <w:pPr>
              <w:jc w:val="both"/>
              <w:rPr>
                <w:rFonts w:asciiTheme="minorHAnsi" w:hAnsiTheme="minorHAnsi" w:cstheme="minorHAnsi"/>
                <w:sz w:val="20"/>
                <w:szCs w:val="20"/>
              </w:rPr>
            </w:pPr>
          </w:p>
          <w:p w14:paraId="04C07E4A" w14:textId="70550750" w:rsidR="00132EA6" w:rsidRDefault="00132EA6" w:rsidP="00132EA6">
            <w:pPr>
              <w:jc w:val="both"/>
              <w:rPr>
                <w:rFonts w:asciiTheme="minorHAnsi" w:hAnsiTheme="minorHAnsi" w:cstheme="minorHAnsi"/>
                <w:sz w:val="20"/>
                <w:szCs w:val="20"/>
              </w:rPr>
            </w:pPr>
            <w:r w:rsidRPr="006843E1">
              <w:rPr>
                <w:rFonts w:asciiTheme="minorHAnsi" w:hAnsiTheme="minorHAnsi" w:cstheme="minorHAnsi"/>
                <w:sz w:val="20"/>
                <w:szCs w:val="20"/>
              </w:rPr>
              <w:t xml:space="preserve">Iako je tokom godina vidljiv očekivani trend pada broja linija realiziranih putem bakra (maloprodaja i veleprodaja) i rast broja linija realiziranih putem optike (maloprodaja i veleprodaja), A1 ističe kako nije jasno zašto ukupni broj linija ima konstantni trend pada kroz godine. Tako npr. u odnosu na 2022., ima 114 tisuća manje linija u 2027. (-10%), 239 tisuća manje u 2030. (-21%) te čak 397 tisuća manje linija u 2035. (-35%). Ovakav trend je generiran padom broja linija realiziranih preko bakra, a koji nije „kompenziran“ rastom broja linija realiziranih putem optike. </w:t>
            </w:r>
          </w:p>
          <w:p w14:paraId="0906814D" w14:textId="77777777" w:rsidR="00D374AD" w:rsidRPr="00D374AD" w:rsidRDefault="00D374AD" w:rsidP="00132EA6">
            <w:pPr>
              <w:jc w:val="both"/>
              <w:rPr>
                <w:rFonts w:asciiTheme="minorHAnsi" w:hAnsiTheme="minorHAnsi" w:cstheme="minorHAnsi"/>
                <w:sz w:val="20"/>
                <w:szCs w:val="20"/>
              </w:rPr>
            </w:pPr>
          </w:p>
          <w:p w14:paraId="67B9827F" w14:textId="778AE87C"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A1 smatra da će trend pada ukupnog broja linija biti prisutan zbog migracija na mrežu alternativnih operatora, kao i potpunih deaktivacija usluga kod određenih korisnika, ali ne u mjeri u kojoj je primijenjen u modelu. Drugim riječima, nejasno je na temelju čega HAKOM temelji procjenu da će HT u periodu od sljedećih 5 godina izgubiti 10% tržišta (odnosno čak 21% tržišta u periodu od sljedećih 8 godina), posebno ako se uzme u obzir činjenica da navedeni broj linija uključuje sve aktivne linije na maloprodajnoj i veleprodajnoj razini u mreži HT-a, kao i vrlo stabilan tržišni udjel HT-a u proteklom razdoblju. </w:t>
            </w:r>
          </w:p>
          <w:p w14:paraId="2705C400" w14:textId="77777777" w:rsidR="00D374AD" w:rsidRPr="00D374AD" w:rsidRDefault="00D374AD" w:rsidP="00132EA6">
            <w:pPr>
              <w:jc w:val="both"/>
              <w:rPr>
                <w:rFonts w:asciiTheme="minorHAnsi" w:hAnsiTheme="minorHAnsi" w:cstheme="minorHAnsi"/>
                <w:sz w:val="20"/>
                <w:szCs w:val="20"/>
              </w:rPr>
            </w:pPr>
          </w:p>
          <w:p w14:paraId="52D02305" w14:textId="41D84AE5"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Slična je situacija kad se pogleda trend ukupnog broja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(bakar i optika, maloprodaja i veleprodaj</w:t>
            </w:r>
            <w:r w:rsidR="00823BEB" w:rsidRPr="00D374AD">
              <w:rPr>
                <w:rFonts w:asciiTheme="minorHAnsi" w:hAnsiTheme="minorHAnsi" w:cstheme="minorHAnsi"/>
                <w:sz w:val="20"/>
                <w:szCs w:val="20"/>
              </w:rPr>
              <w:t>a) koji od 2022. do 2027.</w:t>
            </w:r>
            <w:r w:rsidRPr="00D374AD">
              <w:rPr>
                <w:rFonts w:asciiTheme="minorHAnsi" w:hAnsiTheme="minorHAnsi" w:cstheme="minorHAnsi"/>
                <w:sz w:val="20"/>
                <w:szCs w:val="20"/>
              </w:rPr>
              <w:t xml:space="preserve"> (očekivano) bilježi ras</w:t>
            </w:r>
            <w:r w:rsidR="00823BEB" w:rsidRPr="00D374AD">
              <w:rPr>
                <w:rFonts w:asciiTheme="minorHAnsi" w:hAnsiTheme="minorHAnsi" w:cstheme="minorHAnsi"/>
                <w:sz w:val="20"/>
                <w:szCs w:val="20"/>
              </w:rPr>
              <w:t>t da bi od 2027. do 2035.</w:t>
            </w:r>
            <w:r w:rsidRPr="00D374AD">
              <w:rPr>
                <w:rFonts w:asciiTheme="minorHAnsi" w:hAnsiTheme="minorHAnsi" w:cstheme="minorHAnsi"/>
                <w:sz w:val="20"/>
                <w:szCs w:val="20"/>
              </w:rPr>
              <w:t xml:space="preserve"> iz nepoznatog razloga počeo padati ukupni broj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Tako npr. u odnosu na 2022. u modelu imamo 157 tisuća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više u 2027. (+21%), odnosno 64 tisuće linija više u 2030. (+8%), ali s druge strane 62 tisuće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manje u 2035. (-8%). Ovakav trend je generiran padom broja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realiziranih preko bakra, a koji nije „kompenziran“ rastom broja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realiziranih putem optike. </w:t>
            </w:r>
          </w:p>
          <w:p w14:paraId="21BE07A3" w14:textId="77777777" w:rsidR="00D374AD" w:rsidRPr="00D374AD" w:rsidRDefault="00D374AD" w:rsidP="00132EA6">
            <w:pPr>
              <w:jc w:val="both"/>
              <w:rPr>
                <w:rFonts w:asciiTheme="minorHAnsi" w:hAnsiTheme="minorHAnsi" w:cstheme="minorHAnsi"/>
                <w:sz w:val="20"/>
                <w:szCs w:val="20"/>
              </w:rPr>
            </w:pPr>
          </w:p>
          <w:p w14:paraId="15DC4B57" w14:textId="2E23C072" w:rsidR="00132EA6" w:rsidRP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Dodatno, ističe A1, nejasno je kako je moguće da broj </w:t>
            </w:r>
            <w:proofErr w:type="spellStart"/>
            <w:r w:rsidRPr="00D374AD">
              <w:rPr>
                <w:rFonts w:asciiTheme="minorHAnsi" w:hAnsiTheme="minorHAnsi" w:cstheme="minorHAnsi"/>
                <w:sz w:val="20"/>
                <w:szCs w:val="20"/>
              </w:rPr>
              <w:t>FTTH</w:t>
            </w:r>
            <w:proofErr w:type="spellEnd"/>
            <w:r w:rsidRPr="00D374AD">
              <w:rPr>
                <w:rFonts w:asciiTheme="minorHAnsi" w:hAnsiTheme="minorHAnsi" w:cstheme="minorHAnsi"/>
                <w:sz w:val="20"/>
                <w:szCs w:val="20"/>
              </w:rPr>
              <w:t>/B/</w:t>
            </w:r>
            <w:proofErr w:type="spellStart"/>
            <w:r w:rsidRPr="00D374AD">
              <w:rPr>
                <w:rFonts w:asciiTheme="minorHAnsi" w:hAnsiTheme="minorHAnsi" w:cstheme="minorHAnsi"/>
                <w:sz w:val="20"/>
                <w:szCs w:val="20"/>
              </w:rPr>
              <w:t>DP</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retail</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broadban</w:t>
            </w:r>
            <w:r w:rsidR="00823BEB" w:rsidRPr="00D374AD">
              <w:rPr>
                <w:rFonts w:asciiTheme="minorHAnsi" w:hAnsiTheme="minorHAnsi" w:cstheme="minorHAnsi"/>
                <w:sz w:val="20"/>
                <w:szCs w:val="20"/>
              </w:rPr>
              <w:t>d</w:t>
            </w:r>
            <w:proofErr w:type="spellEnd"/>
            <w:r w:rsidR="00823BEB" w:rsidRPr="00D374AD">
              <w:rPr>
                <w:rFonts w:asciiTheme="minorHAnsi" w:hAnsiTheme="minorHAnsi" w:cstheme="minorHAnsi"/>
                <w:sz w:val="20"/>
                <w:szCs w:val="20"/>
              </w:rPr>
              <w:t xml:space="preserve"> linija počevši od 2022.</w:t>
            </w:r>
            <w:r w:rsidRPr="00D374AD">
              <w:rPr>
                <w:rFonts w:asciiTheme="minorHAnsi" w:hAnsiTheme="minorHAnsi" w:cstheme="minorHAnsi"/>
                <w:sz w:val="20"/>
                <w:szCs w:val="20"/>
              </w:rPr>
              <w:t xml:space="preserve"> za oko 2,5% premašuje broj istovjetnih </w:t>
            </w:r>
            <w:proofErr w:type="spellStart"/>
            <w:r w:rsidRPr="00D374AD">
              <w:rPr>
                <w:rFonts w:asciiTheme="minorHAnsi" w:hAnsiTheme="minorHAnsi" w:cstheme="minorHAnsi"/>
                <w:sz w:val="20"/>
                <w:szCs w:val="20"/>
              </w:rPr>
              <w:t>access</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retail</w:t>
            </w:r>
            <w:proofErr w:type="spellEnd"/>
            <w:r w:rsidRPr="00D374AD">
              <w:rPr>
                <w:rFonts w:asciiTheme="minorHAnsi" w:hAnsiTheme="minorHAnsi" w:cstheme="minorHAnsi"/>
                <w:sz w:val="20"/>
                <w:szCs w:val="20"/>
              </w:rPr>
              <w:t xml:space="preserve"> linija u istoj godini (npr. 1.703 linije više u 2022. ili 8.776 linija u 2027.). </w:t>
            </w:r>
          </w:p>
          <w:p w14:paraId="2C9AAB0F" w14:textId="77777777" w:rsidR="008F6873" w:rsidRPr="00D374AD" w:rsidRDefault="008F6873" w:rsidP="00132EA6">
            <w:pPr>
              <w:jc w:val="both"/>
              <w:rPr>
                <w:rFonts w:asciiTheme="minorHAnsi" w:hAnsiTheme="minorHAnsi" w:cstheme="minorHAnsi"/>
                <w:sz w:val="20"/>
                <w:szCs w:val="20"/>
              </w:rPr>
            </w:pPr>
          </w:p>
          <w:p w14:paraId="3F42F7E3" w14:textId="6991DE81"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Nadalje, omjer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u odnosu na </w:t>
            </w:r>
            <w:proofErr w:type="spellStart"/>
            <w:r w:rsidRPr="00D374AD">
              <w:rPr>
                <w:rFonts w:asciiTheme="minorHAnsi" w:hAnsiTheme="minorHAnsi" w:cstheme="minorHAnsi"/>
                <w:sz w:val="20"/>
                <w:szCs w:val="20"/>
              </w:rPr>
              <w:t>access</w:t>
            </w:r>
            <w:proofErr w:type="spellEnd"/>
            <w:r w:rsidRPr="00D374AD">
              <w:rPr>
                <w:rFonts w:asciiTheme="minorHAnsi" w:hAnsiTheme="minorHAnsi" w:cstheme="minorHAnsi"/>
                <w:sz w:val="20"/>
                <w:szCs w:val="20"/>
              </w:rPr>
              <w:t xml:space="preserve"> linije putem bakrene mreže je također nelogičan u dijelu koji se odnosi na maloprodajnu razinu. Naime, dok se kroz sve modelirane godine na veleprodajnoj razini bilježi omjer od oko 99%, na maloprodajnoj razini se isti kreće od 58% do maksimalnih 73,5% koji se dostiže u 2028. godini. Moguće je da se dio navedenih linija odnosi na tzv. „</w:t>
            </w:r>
            <w:proofErr w:type="spellStart"/>
            <w:r w:rsidRPr="00D374AD">
              <w:rPr>
                <w:rFonts w:asciiTheme="minorHAnsi" w:hAnsiTheme="minorHAnsi" w:cstheme="minorHAnsi"/>
                <w:sz w:val="20"/>
                <w:szCs w:val="20"/>
              </w:rPr>
              <w:t>voice</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only</w:t>
            </w:r>
            <w:proofErr w:type="spellEnd"/>
            <w:r w:rsidRPr="00D374AD">
              <w:rPr>
                <w:rFonts w:asciiTheme="minorHAnsi" w:hAnsiTheme="minorHAnsi" w:cstheme="minorHAnsi"/>
                <w:sz w:val="20"/>
                <w:szCs w:val="20"/>
              </w:rPr>
              <w:t xml:space="preserve">“ korisnike, ali je nelogično da je njihov broj trenutno preko 40% svih pristupnih linija, kao i to da će 2030. godine broj navedenih korisnika i dalje biti preko 25%. </w:t>
            </w:r>
          </w:p>
          <w:p w14:paraId="1C11EB55" w14:textId="77777777" w:rsidR="00D374AD" w:rsidRPr="00D374AD" w:rsidRDefault="00D374AD" w:rsidP="00132EA6">
            <w:pPr>
              <w:jc w:val="both"/>
              <w:rPr>
                <w:rFonts w:asciiTheme="minorHAnsi" w:hAnsiTheme="minorHAnsi" w:cstheme="minorHAnsi"/>
                <w:sz w:val="20"/>
                <w:szCs w:val="20"/>
              </w:rPr>
            </w:pPr>
          </w:p>
          <w:p w14:paraId="0205BBF2" w14:textId="77777777" w:rsid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Uz opisane nelogičnosti kod broja svih pristupnih i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određene nelogičnosti su prisutne i kod ulaznih podataka vezanih uz korišteni kapacitet. Naime, dok je u prvim modeliranim godinama odnos bakrenih i optičkih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na maloprodajnoj i veleprodajnoj razini vrlo sličan, očekivano je da je i prosječni korišteni kapacitet po liniji također usporediv.</w:t>
            </w:r>
          </w:p>
          <w:p w14:paraId="072C8A8C" w14:textId="3F23D934" w:rsidR="00132EA6" w:rsidRPr="00D374AD" w:rsidRDefault="00132EA6" w:rsidP="00132EA6">
            <w:pPr>
              <w:jc w:val="both"/>
              <w:rPr>
                <w:rFonts w:asciiTheme="minorHAnsi" w:hAnsiTheme="minorHAnsi" w:cstheme="minorHAnsi"/>
                <w:sz w:val="20"/>
                <w:szCs w:val="20"/>
              </w:rPr>
            </w:pPr>
          </w:p>
          <w:p w14:paraId="52CBD07C" w14:textId="1EA5928F"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Međutim, u kasnijim godinama postotak optičkih linija na maloprodajnoj razini značajno brže raste u odnosu na veleprodajnu razinu, ali se navedene značajne razlike ne očituju u prosječnom kapacitetu po </w:t>
            </w:r>
            <w:r w:rsidR="00823BEB" w:rsidRPr="00D374AD">
              <w:rPr>
                <w:rFonts w:asciiTheme="minorHAnsi" w:hAnsiTheme="minorHAnsi" w:cstheme="minorHAnsi"/>
                <w:sz w:val="20"/>
                <w:szCs w:val="20"/>
              </w:rPr>
              <w:t>liniji. Tako npr. u 2025.</w:t>
            </w:r>
            <w:r w:rsidRPr="00D374AD">
              <w:rPr>
                <w:rFonts w:asciiTheme="minorHAnsi" w:hAnsiTheme="minorHAnsi" w:cstheme="minorHAnsi"/>
                <w:sz w:val="20"/>
                <w:szCs w:val="20"/>
              </w:rPr>
              <w:t xml:space="preserve"> na maloprodajnoj razini ostvaren je postotak od 40% optičkih linija (tj. 60% bakrenih linija) uz prosječni kapacitet po liniji od 2,4 </w:t>
            </w:r>
            <w:proofErr w:type="spellStart"/>
            <w:r w:rsidRPr="00D374AD">
              <w:rPr>
                <w:rFonts w:asciiTheme="minorHAnsi" w:hAnsiTheme="minorHAnsi" w:cstheme="minorHAnsi"/>
                <w:sz w:val="20"/>
                <w:szCs w:val="20"/>
              </w:rPr>
              <w:t>Mbit</w:t>
            </w:r>
            <w:proofErr w:type="spellEnd"/>
            <w:r w:rsidRPr="00D374AD">
              <w:rPr>
                <w:rFonts w:asciiTheme="minorHAnsi" w:hAnsiTheme="minorHAnsi" w:cstheme="minorHAnsi"/>
                <w:sz w:val="20"/>
                <w:szCs w:val="20"/>
              </w:rPr>
              <w:t xml:space="preserve">/s pri čemu je u istoj godini na veleprodajnoj razini ostvaren gotovo isti prosječni kapacitet po liniji (2,3 </w:t>
            </w:r>
            <w:proofErr w:type="spellStart"/>
            <w:r w:rsidRPr="00D374AD">
              <w:rPr>
                <w:rFonts w:asciiTheme="minorHAnsi" w:hAnsiTheme="minorHAnsi" w:cstheme="minorHAnsi"/>
                <w:sz w:val="20"/>
                <w:szCs w:val="20"/>
              </w:rPr>
              <w:t>Mbit</w:t>
            </w:r>
            <w:proofErr w:type="spellEnd"/>
            <w:r w:rsidRPr="00D374AD">
              <w:rPr>
                <w:rFonts w:asciiTheme="minorHAnsi" w:hAnsiTheme="minorHAnsi" w:cstheme="minorHAnsi"/>
                <w:sz w:val="20"/>
                <w:szCs w:val="20"/>
              </w:rPr>
              <w:t xml:space="preserve">/s) uz značajno manji broj optičkih linija (27%) u odnosu na bakrene linije (73%). Još je veća razlika u godinama koje </w:t>
            </w:r>
            <w:r w:rsidR="00823BEB" w:rsidRPr="00D374AD">
              <w:rPr>
                <w:rFonts w:asciiTheme="minorHAnsi" w:hAnsiTheme="minorHAnsi" w:cstheme="minorHAnsi"/>
                <w:sz w:val="20"/>
                <w:szCs w:val="20"/>
              </w:rPr>
              <w:t>slijede gdje npr. u 2028.</w:t>
            </w:r>
            <w:r w:rsidRPr="00D374AD">
              <w:rPr>
                <w:rFonts w:asciiTheme="minorHAnsi" w:hAnsiTheme="minorHAnsi" w:cstheme="minorHAnsi"/>
                <w:sz w:val="20"/>
                <w:szCs w:val="20"/>
              </w:rPr>
              <w:t xml:space="preserve"> na maloprodajnoj razini već imamo 55% optičkih linija za razliku od veleprodajne razine gdje je predviđeno tek 41% uz isti prosječni kapacitet po liniji na obje razine od 4,9 </w:t>
            </w:r>
            <w:proofErr w:type="spellStart"/>
            <w:r w:rsidRPr="00D374AD">
              <w:rPr>
                <w:rFonts w:asciiTheme="minorHAnsi" w:hAnsiTheme="minorHAnsi" w:cstheme="minorHAnsi"/>
                <w:sz w:val="20"/>
                <w:szCs w:val="20"/>
              </w:rPr>
              <w:t>Mbit</w:t>
            </w:r>
            <w:proofErr w:type="spellEnd"/>
            <w:r w:rsidRPr="00D374AD">
              <w:rPr>
                <w:rFonts w:asciiTheme="minorHAnsi" w:hAnsiTheme="minorHAnsi" w:cstheme="minorHAnsi"/>
                <w:sz w:val="20"/>
                <w:szCs w:val="20"/>
              </w:rPr>
              <w:t>/s. S druge strane, na veleprodajnoj razini se 55% optičkih linija</w:t>
            </w:r>
            <w:r w:rsidR="00823BEB" w:rsidRPr="00D374AD">
              <w:rPr>
                <w:rFonts w:asciiTheme="minorHAnsi" w:hAnsiTheme="minorHAnsi" w:cstheme="minorHAnsi"/>
                <w:sz w:val="20"/>
                <w:szCs w:val="20"/>
              </w:rPr>
              <w:t xml:space="preserve"> u modelu planira u 2034.</w:t>
            </w:r>
            <w:r w:rsidRPr="00D374AD">
              <w:rPr>
                <w:rFonts w:asciiTheme="minorHAnsi" w:hAnsiTheme="minorHAnsi" w:cstheme="minorHAnsi"/>
                <w:sz w:val="20"/>
                <w:szCs w:val="20"/>
              </w:rPr>
              <w:t xml:space="preserve"> uz prosječni kapacitet po liniji od čak 6,4 </w:t>
            </w:r>
            <w:proofErr w:type="spellStart"/>
            <w:r w:rsidRPr="00D374AD">
              <w:rPr>
                <w:rFonts w:asciiTheme="minorHAnsi" w:hAnsiTheme="minorHAnsi" w:cstheme="minorHAnsi"/>
                <w:sz w:val="20"/>
                <w:szCs w:val="20"/>
              </w:rPr>
              <w:t>Mbit</w:t>
            </w:r>
            <w:proofErr w:type="spellEnd"/>
            <w:r w:rsidRPr="00D374AD">
              <w:rPr>
                <w:rFonts w:asciiTheme="minorHAnsi" w:hAnsiTheme="minorHAnsi" w:cstheme="minorHAnsi"/>
                <w:sz w:val="20"/>
                <w:szCs w:val="20"/>
              </w:rPr>
              <w:t xml:space="preserve">/s. Zanimljivo je da u navedenoj godini prosječni kapacitet po liniji na maloprodajnoj razini iznosi 6 </w:t>
            </w:r>
            <w:proofErr w:type="spellStart"/>
            <w:r w:rsidRPr="00D374AD">
              <w:rPr>
                <w:rFonts w:asciiTheme="minorHAnsi" w:hAnsiTheme="minorHAnsi" w:cstheme="minorHAnsi"/>
                <w:sz w:val="20"/>
                <w:szCs w:val="20"/>
              </w:rPr>
              <w:t>Mbit</w:t>
            </w:r>
            <w:proofErr w:type="spellEnd"/>
            <w:r w:rsidRPr="00D374AD">
              <w:rPr>
                <w:rFonts w:asciiTheme="minorHAnsi" w:hAnsiTheme="minorHAnsi" w:cstheme="minorHAnsi"/>
                <w:sz w:val="20"/>
                <w:szCs w:val="20"/>
              </w:rPr>
              <w:t xml:space="preserve">/s iako je broj optičkih linija u tom trenutku već na 68%. </w:t>
            </w:r>
          </w:p>
          <w:p w14:paraId="50F42EA5" w14:textId="77777777" w:rsidR="00D374AD" w:rsidRPr="00D374AD" w:rsidRDefault="00D374AD" w:rsidP="00132EA6">
            <w:pPr>
              <w:jc w:val="both"/>
              <w:rPr>
                <w:rFonts w:asciiTheme="minorHAnsi" w:hAnsiTheme="minorHAnsi" w:cstheme="minorHAnsi"/>
                <w:sz w:val="20"/>
                <w:szCs w:val="20"/>
              </w:rPr>
            </w:pPr>
          </w:p>
          <w:p w14:paraId="700A04A7" w14:textId="3FC40EFD" w:rsidR="00132EA6" w:rsidRDefault="00823BEB" w:rsidP="00132EA6">
            <w:pPr>
              <w:jc w:val="both"/>
              <w:rPr>
                <w:rFonts w:asciiTheme="minorHAnsi" w:hAnsiTheme="minorHAnsi" w:cstheme="minorHAnsi"/>
                <w:sz w:val="20"/>
                <w:szCs w:val="20"/>
              </w:rPr>
            </w:pPr>
            <w:r w:rsidRPr="00D374AD">
              <w:rPr>
                <w:rFonts w:asciiTheme="minorHAnsi" w:hAnsiTheme="minorHAnsi" w:cstheme="minorHAnsi"/>
                <w:sz w:val="20"/>
                <w:szCs w:val="20"/>
              </w:rPr>
              <w:t>Dodatno, od 2029.</w:t>
            </w:r>
            <w:r w:rsidR="00132EA6" w:rsidRPr="00D374AD">
              <w:rPr>
                <w:rFonts w:asciiTheme="minorHAnsi" w:hAnsiTheme="minorHAnsi" w:cstheme="minorHAnsi"/>
                <w:sz w:val="20"/>
                <w:szCs w:val="20"/>
              </w:rPr>
              <w:t xml:space="preserve">, za razliku od prethodnih godina, prosječni kapacitet po liniji na veleprodajnoj razini počinje biti veći od kapaciteta na maloprodajnoj razini, iako je cijelo promatrano vrijeme omjer optičkih linija u odnosu na bakrene linije veći na maloprodajnoj razini pa bi bilo logično da je i prosječni kapacitet po liniji na maloprodajnoj razini veći. </w:t>
            </w:r>
          </w:p>
          <w:p w14:paraId="5F7FE357" w14:textId="77777777" w:rsidR="00D374AD" w:rsidRPr="00D374AD" w:rsidRDefault="00D374AD" w:rsidP="00132EA6">
            <w:pPr>
              <w:jc w:val="both"/>
              <w:rPr>
                <w:rFonts w:asciiTheme="minorHAnsi" w:hAnsiTheme="minorHAnsi" w:cstheme="minorHAnsi"/>
                <w:sz w:val="20"/>
                <w:szCs w:val="20"/>
              </w:rPr>
            </w:pPr>
          </w:p>
          <w:p w14:paraId="4B61722E" w14:textId="5935BEE1"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Vezano za potražnju koja se odnosi na visokokvalitetni pristup, A1 je primijetio značajno povećanje potražnje u retku 60 (</w:t>
            </w:r>
            <w:proofErr w:type="spellStart"/>
            <w:r w:rsidRPr="00D374AD">
              <w:rPr>
                <w:rFonts w:asciiTheme="minorHAnsi" w:hAnsiTheme="minorHAnsi" w:cstheme="minorHAnsi"/>
                <w:sz w:val="20"/>
                <w:szCs w:val="20"/>
              </w:rPr>
              <w:t>High-Quality</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Services.Ethernet</w:t>
            </w:r>
            <w:proofErr w:type="spellEnd"/>
            <w:r w:rsidRPr="00D374AD">
              <w:rPr>
                <w:rFonts w:asciiTheme="minorHAnsi" w:hAnsiTheme="minorHAnsi" w:cstheme="minorHAnsi"/>
                <w:sz w:val="20"/>
                <w:szCs w:val="20"/>
              </w:rPr>
              <w:t xml:space="preserve"> line L2 P2P.Wholesale.Trunk segment) u odnosu na prethodnu verziju t</w:t>
            </w:r>
            <w:r w:rsidR="00823BEB" w:rsidRPr="00D374AD">
              <w:rPr>
                <w:rFonts w:asciiTheme="minorHAnsi" w:hAnsiTheme="minorHAnsi" w:cstheme="minorHAnsi"/>
                <w:sz w:val="20"/>
                <w:szCs w:val="20"/>
              </w:rPr>
              <w:t>roškovnog modela iz 2020.</w:t>
            </w:r>
            <w:r w:rsidRPr="00D374AD">
              <w:rPr>
                <w:rFonts w:asciiTheme="minorHAnsi" w:hAnsiTheme="minorHAnsi" w:cstheme="minorHAnsi"/>
                <w:sz w:val="20"/>
                <w:szCs w:val="20"/>
              </w:rPr>
              <w:t xml:space="preserve"> S druge strane, u ra</w:t>
            </w:r>
            <w:r w:rsidR="00823BEB" w:rsidRPr="00D374AD">
              <w:rPr>
                <w:rFonts w:asciiTheme="minorHAnsi" w:hAnsiTheme="minorHAnsi" w:cstheme="minorHAnsi"/>
                <w:sz w:val="20"/>
                <w:szCs w:val="20"/>
              </w:rPr>
              <w:t xml:space="preserve">zdoblju od 2017. do 2019. </w:t>
            </w:r>
            <w:r w:rsidRPr="00D374AD">
              <w:rPr>
                <w:rFonts w:asciiTheme="minorHAnsi" w:hAnsiTheme="minorHAnsi" w:cstheme="minorHAnsi"/>
                <w:sz w:val="20"/>
                <w:szCs w:val="20"/>
              </w:rPr>
              <w:t xml:space="preserve">ne vidi se bilo kakvo povećanje vezano za broj linija u tom dijelu, dok se vidi nagli skok u broju linija od 2020.  (redak 66 - </w:t>
            </w:r>
            <w:proofErr w:type="spellStart"/>
            <w:r w:rsidRPr="00D374AD">
              <w:rPr>
                <w:rFonts w:asciiTheme="minorHAnsi" w:hAnsiTheme="minorHAnsi" w:cstheme="minorHAnsi"/>
                <w:sz w:val="20"/>
                <w:szCs w:val="20"/>
              </w:rPr>
              <w:t>High-Quality</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Services.Terminating</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segment.Wholesale.Terminating</w:t>
            </w:r>
            <w:proofErr w:type="spellEnd"/>
            <w:r w:rsidRPr="00D374AD">
              <w:rPr>
                <w:rFonts w:asciiTheme="minorHAnsi" w:hAnsiTheme="minorHAnsi" w:cstheme="minorHAnsi"/>
                <w:sz w:val="20"/>
                <w:szCs w:val="20"/>
              </w:rPr>
              <w:t xml:space="preserve"> segment). </w:t>
            </w:r>
          </w:p>
          <w:p w14:paraId="342BA3F3" w14:textId="77777777" w:rsidR="00D374AD" w:rsidRPr="00D374AD" w:rsidRDefault="00D374AD" w:rsidP="00132EA6">
            <w:pPr>
              <w:jc w:val="both"/>
              <w:rPr>
                <w:rFonts w:asciiTheme="minorHAnsi" w:hAnsiTheme="minorHAnsi" w:cstheme="minorHAnsi"/>
                <w:sz w:val="20"/>
                <w:szCs w:val="20"/>
              </w:rPr>
            </w:pPr>
          </w:p>
          <w:p w14:paraId="74661DC2" w14:textId="77777777" w:rsidR="00132EA6" w:rsidRP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Kako u popratnim materijalima nije navedeno na što se navedeno povećanje odnosi, A1 smatra kako je potrebno dodatno pojašnjenje navedenih podataka. </w:t>
            </w:r>
          </w:p>
          <w:p w14:paraId="0C908D85" w14:textId="77777777" w:rsidR="00132EA6" w:rsidRPr="00D374AD" w:rsidRDefault="00132EA6" w:rsidP="00132EA6">
            <w:pPr>
              <w:jc w:val="both"/>
              <w:rPr>
                <w:rFonts w:asciiTheme="minorHAnsi" w:hAnsiTheme="minorHAnsi" w:cstheme="minorHAnsi"/>
                <w:sz w:val="20"/>
                <w:szCs w:val="20"/>
              </w:rPr>
            </w:pPr>
          </w:p>
          <w:p w14:paraId="2091EC7A" w14:textId="79B4719E"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A1 je kod komentiranja prethodne verzije modela upozoravao na činjenicu da u modelu nedostaje cijela potražnja koja se odnosi na mobilnu mrežu HT-a pa je moguće da je HAKOM u ovu verziju troškovnog modela odlučio uvrstiti navedenu potražnju. Međutim, ako se navedeni podaci uistinu odnose na mobilnu mrežu HT-a, ostaje nejasno zašto broj </w:t>
            </w:r>
            <w:r w:rsidR="00823BEB" w:rsidRPr="00D374AD">
              <w:rPr>
                <w:rFonts w:asciiTheme="minorHAnsi" w:hAnsiTheme="minorHAnsi" w:cstheme="minorHAnsi"/>
                <w:sz w:val="20"/>
                <w:szCs w:val="20"/>
              </w:rPr>
              <w:t>linija raste tek od 2020.</w:t>
            </w:r>
            <w:r w:rsidRPr="00D374AD">
              <w:rPr>
                <w:rFonts w:asciiTheme="minorHAnsi" w:hAnsiTheme="minorHAnsi" w:cstheme="minorHAnsi"/>
                <w:sz w:val="20"/>
                <w:szCs w:val="20"/>
              </w:rPr>
              <w:t xml:space="preserve"> s obzirom da je HT i prije navedene godine imao mobilnu mrežu (i posljedično povezane bazne postaje). </w:t>
            </w:r>
          </w:p>
          <w:p w14:paraId="1A77BB47" w14:textId="77777777" w:rsidR="00D374AD" w:rsidRPr="00D374AD" w:rsidRDefault="00D374AD" w:rsidP="00132EA6">
            <w:pPr>
              <w:jc w:val="both"/>
              <w:rPr>
                <w:rFonts w:asciiTheme="minorHAnsi" w:hAnsiTheme="minorHAnsi" w:cstheme="minorHAnsi"/>
                <w:sz w:val="20"/>
                <w:szCs w:val="20"/>
              </w:rPr>
            </w:pPr>
          </w:p>
          <w:p w14:paraId="1929D0E6" w14:textId="77777777" w:rsidR="00132EA6" w:rsidRP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Dodatno, kod komentiranja prethodne verzije modela A1 je upozoravao da u potražnji nedostaju i podaci koji se odnose na kapacitete (vodove) koji su iznajmljeni međunarodnim korisnicima (operatorima), a koji su realizirani na području RH, tj. u mreži HT-a. Prema podacima o ukupnoj planiranoj potražnji, čini nam se da je navedena potražnja i dalje (neopravdano) izostavljena iz modela te je istu također potrebno uključiti u konačnoj verziji troškovnog modela HAKOM-a. </w:t>
            </w:r>
          </w:p>
          <w:p w14:paraId="743FD374" w14:textId="77777777" w:rsidR="00132EA6" w:rsidRPr="00D374AD" w:rsidRDefault="00132EA6" w:rsidP="00132EA6">
            <w:pPr>
              <w:jc w:val="both"/>
              <w:rPr>
                <w:rFonts w:asciiTheme="minorHAnsi" w:hAnsiTheme="minorHAnsi" w:cstheme="minorHAnsi"/>
                <w:sz w:val="20"/>
                <w:szCs w:val="20"/>
              </w:rPr>
            </w:pPr>
          </w:p>
          <w:p w14:paraId="4FA0096B" w14:textId="77777777" w:rsidR="00132EA6" w:rsidRP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Uz navedene nelogičnosti iz radnog lista 1A </w:t>
            </w:r>
            <w:proofErr w:type="spellStart"/>
            <w:r w:rsidRPr="00D374AD">
              <w:rPr>
                <w:rFonts w:asciiTheme="minorHAnsi" w:hAnsiTheme="minorHAnsi" w:cstheme="minorHAnsi"/>
                <w:sz w:val="20"/>
                <w:szCs w:val="20"/>
              </w:rPr>
              <w:t>INP</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DEMAND</w:t>
            </w:r>
            <w:proofErr w:type="spellEnd"/>
            <w:r w:rsidRPr="00D374AD">
              <w:rPr>
                <w:rFonts w:asciiTheme="minorHAnsi" w:hAnsiTheme="minorHAnsi" w:cstheme="minorHAnsi"/>
                <w:sz w:val="20"/>
                <w:szCs w:val="20"/>
              </w:rPr>
              <w:t xml:space="preserve">, A1 u nastavku dostavlja i uočene nedosljednosti koje se odnose na pokrivanje (radni list 1D </w:t>
            </w:r>
            <w:proofErr w:type="spellStart"/>
            <w:r w:rsidRPr="00D374AD">
              <w:rPr>
                <w:rFonts w:asciiTheme="minorHAnsi" w:hAnsiTheme="minorHAnsi" w:cstheme="minorHAnsi"/>
                <w:sz w:val="20"/>
                <w:szCs w:val="20"/>
              </w:rPr>
              <w:t>INP</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COVERAGE</w:t>
            </w:r>
            <w:proofErr w:type="spellEnd"/>
            <w:r w:rsidRPr="00D374AD">
              <w:rPr>
                <w:rFonts w:asciiTheme="minorHAnsi" w:hAnsiTheme="minorHAnsi" w:cstheme="minorHAnsi"/>
                <w:sz w:val="20"/>
                <w:szCs w:val="20"/>
              </w:rPr>
              <w:t xml:space="preserve">). </w:t>
            </w:r>
          </w:p>
          <w:p w14:paraId="3A607F20" w14:textId="77777777" w:rsid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Pokrivanje HT </w:t>
            </w:r>
            <w:proofErr w:type="spellStart"/>
            <w:r w:rsidRPr="00D374AD">
              <w:rPr>
                <w:rFonts w:asciiTheme="minorHAnsi" w:hAnsiTheme="minorHAnsi" w:cstheme="minorHAnsi"/>
                <w:sz w:val="20"/>
                <w:szCs w:val="20"/>
              </w:rPr>
              <w:t>FTTH</w:t>
            </w:r>
            <w:proofErr w:type="spellEnd"/>
            <w:r w:rsidRPr="00D374AD">
              <w:rPr>
                <w:rFonts w:asciiTheme="minorHAnsi" w:hAnsiTheme="minorHAnsi" w:cstheme="minorHAnsi"/>
                <w:sz w:val="20"/>
                <w:szCs w:val="20"/>
              </w:rPr>
              <w:t xml:space="preserve"> mrežom za protekle godine (2017.-2022.) u modelu nije u skladu s HT javnim objavama o pokrivenosti svjetlovodnom mrežom. U ra</w:t>
            </w:r>
            <w:r w:rsidR="00823BEB" w:rsidRPr="00D374AD">
              <w:rPr>
                <w:rFonts w:asciiTheme="minorHAnsi" w:hAnsiTheme="minorHAnsi" w:cstheme="minorHAnsi"/>
                <w:sz w:val="20"/>
                <w:szCs w:val="20"/>
              </w:rPr>
              <w:t>zdoblju od 2017. do 2019.</w:t>
            </w:r>
            <w:r w:rsidRPr="00D374AD">
              <w:rPr>
                <w:rFonts w:asciiTheme="minorHAnsi" w:hAnsiTheme="minorHAnsi" w:cstheme="minorHAnsi"/>
                <w:sz w:val="20"/>
                <w:szCs w:val="20"/>
              </w:rPr>
              <w:t>, pokrivanje u modelu je za 30-50 tisuća manje od pokrivanja koje je HT navodio u svojim javnim objavama, dok je pokrivanje u razdoblju od 2020. do 2022. u modelu značajno veće od pokrivanja iz javnih o</w:t>
            </w:r>
            <w:r w:rsidR="00823BEB" w:rsidRPr="00D374AD">
              <w:rPr>
                <w:rFonts w:asciiTheme="minorHAnsi" w:hAnsiTheme="minorHAnsi" w:cstheme="minorHAnsi"/>
                <w:sz w:val="20"/>
                <w:szCs w:val="20"/>
              </w:rPr>
              <w:t>bjava. Tako npr. za 2019.</w:t>
            </w:r>
            <w:r w:rsidRPr="00D374AD">
              <w:rPr>
                <w:rFonts w:asciiTheme="minorHAnsi" w:hAnsiTheme="minorHAnsi" w:cstheme="minorHAnsi"/>
                <w:sz w:val="20"/>
                <w:szCs w:val="20"/>
              </w:rPr>
              <w:t xml:space="preserve"> HT je objavio da s </w:t>
            </w:r>
            <w:proofErr w:type="spellStart"/>
            <w:r w:rsidRPr="00D374AD">
              <w:rPr>
                <w:rFonts w:asciiTheme="minorHAnsi" w:hAnsiTheme="minorHAnsi" w:cstheme="minorHAnsi"/>
                <w:sz w:val="20"/>
                <w:szCs w:val="20"/>
              </w:rPr>
              <w:t>FTTH</w:t>
            </w:r>
            <w:proofErr w:type="spellEnd"/>
            <w:r w:rsidRPr="00D374AD">
              <w:rPr>
                <w:rFonts w:asciiTheme="minorHAnsi" w:hAnsiTheme="minorHAnsi" w:cstheme="minorHAnsi"/>
                <w:sz w:val="20"/>
                <w:szCs w:val="20"/>
              </w:rPr>
              <w:t xml:space="preserve"> mrežom pokriva 280.358 kućanstava, dok je u modelu navedeno pokrivanje od 232.672 kućanstava. S druge strane, već iduće godine u modelu pokrivanje raste na gotovo duplo veći iznos (454.289), dok HT u javnim objavama navodi brojku od oko 356 tisuća kućanstava, tj. gotovo 100.000 manji broj. Navedene razlike su prisutne u svim narednim godinama te je potrebno provjeriti kako je moguće da model predviđa značajno veće pokrivanje (za gotovo 100.000 kućanstava) u odnosu na službene javne objave HT-a.</w:t>
            </w:r>
          </w:p>
          <w:p w14:paraId="49962683" w14:textId="26984374" w:rsidR="00132EA6" w:rsidRP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 </w:t>
            </w:r>
          </w:p>
          <w:p w14:paraId="205044DC" w14:textId="2888F32D" w:rsidR="00132EA6"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Dodatno, vezano za pokrivanje HT bakrenom mrežom, vidljivo je povećanje pokrivenosti </w:t>
            </w:r>
            <w:r w:rsidR="00823BEB" w:rsidRPr="00D374AD">
              <w:rPr>
                <w:rFonts w:asciiTheme="minorHAnsi" w:hAnsiTheme="minorHAnsi" w:cstheme="minorHAnsi"/>
                <w:sz w:val="20"/>
                <w:szCs w:val="20"/>
              </w:rPr>
              <w:t>u periodu od 2018. do 2022.</w:t>
            </w:r>
            <w:r w:rsidRPr="00D374AD">
              <w:rPr>
                <w:rFonts w:asciiTheme="minorHAnsi" w:hAnsiTheme="minorHAnsi" w:cstheme="minorHAnsi"/>
                <w:sz w:val="20"/>
                <w:szCs w:val="20"/>
              </w:rPr>
              <w:t xml:space="preserve"> od 117 tisuća. Pritom je navedeno povećanje prisutno u svim županijama (osim Grad Zagreb) u </w:t>
            </w:r>
            <w:proofErr w:type="spellStart"/>
            <w:r w:rsidRPr="00D374AD">
              <w:rPr>
                <w:rFonts w:asciiTheme="minorHAnsi" w:hAnsiTheme="minorHAnsi" w:cstheme="minorHAnsi"/>
                <w:sz w:val="20"/>
                <w:szCs w:val="20"/>
              </w:rPr>
              <w:t>Rural</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Not</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Unbundled</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geotipovima</w:t>
            </w:r>
            <w:proofErr w:type="spellEnd"/>
            <w:r w:rsidRPr="00D374AD">
              <w:rPr>
                <w:rFonts w:asciiTheme="minorHAnsi" w:hAnsiTheme="minorHAnsi" w:cstheme="minorHAnsi"/>
                <w:sz w:val="20"/>
                <w:szCs w:val="20"/>
              </w:rPr>
              <w:t xml:space="preserve">, dok u </w:t>
            </w:r>
            <w:proofErr w:type="spellStart"/>
            <w:r w:rsidRPr="00D374AD">
              <w:rPr>
                <w:rFonts w:asciiTheme="minorHAnsi" w:hAnsiTheme="minorHAnsi" w:cstheme="minorHAnsi"/>
                <w:sz w:val="20"/>
                <w:szCs w:val="20"/>
              </w:rPr>
              <w:t>Unbundled</w:t>
            </w:r>
            <w:proofErr w:type="spellEnd"/>
            <w:r w:rsidRPr="00D374AD">
              <w:rPr>
                <w:rFonts w:asciiTheme="minorHAnsi" w:hAnsiTheme="minorHAnsi" w:cstheme="minorHAnsi"/>
                <w:sz w:val="20"/>
                <w:szCs w:val="20"/>
              </w:rPr>
              <w:t xml:space="preserve"> </w:t>
            </w:r>
            <w:proofErr w:type="spellStart"/>
            <w:r w:rsidRPr="00D374AD">
              <w:rPr>
                <w:rFonts w:asciiTheme="minorHAnsi" w:hAnsiTheme="minorHAnsi" w:cstheme="minorHAnsi"/>
                <w:sz w:val="20"/>
                <w:szCs w:val="20"/>
              </w:rPr>
              <w:t>geotipovima</w:t>
            </w:r>
            <w:proofErr w:type="spellEnd"/>
            <w:r w:rsidRPr="00D374AD">
              <w:rPr>
                <w:rFonts w:asciiTheme="minorHAnsi" w:hAnsiTheme="minorHAnsi" w:cstheme="minorHAnsi"/>
                <w:sz w:val="20"/>
                <w:szCs w:val="20"/>
              </w:rPr>
              <w:t xml:space="preserve"> nema promjena u pokrivenosti kroz navedeno razdoblje. </w:t>
            </w:r>
          </w:p>
          <w:p w14:paraId="28E5BE85" w14:textId="77777777" w:rsidR="00D374AD" w:rsidRPr="00D374AD" w:rsidRDefault="00D374AD" w:rsidP="00132EA6">
            <w:pPr>
              <w:jc w:val="both"/>
              <w:rPr>
                <w:rFonts w:asciiTheme="minorHAnsi" w:hAnsiTheme="minorHAnsi" w:cstheme="minorHAnsi"/>
                <w:sz w:val="20"/>
                <w:szCs w:val="20"/>
              </w:rPr>
            </w:pPr>
          </w:p>
          <w:p w14:paraId="426E7A86" w14:textId="77777777" w:rsidR="00132EA6" w:rsidRPr="00D374AD" w:rsidRDefault="00132EA6" w:rsidP="00132EA6">
            <w:pPr>
              <w:jc w:val="both"/>
              <w:rPr>
                <w:rFonts w:asciiTheme="minorHAnsi" w:hAnsiTheme="minorHAnsi" w:cstheme="minorHAnsi"/>
                <w:sz w:val="20"/>
                <w:szCs w:val="20"/>
              </w:rPr>
            </w:pPr>
            <w:r w:rsidRPr="00D374AD">
              <w:rPr>
                <w:rFonts w:asciiTheme="minorHAnsi" w:hAnsiTheme="minorHAnsi" w:cstheme="minorHAnsi"/>
                <w:sz w:val="20"/>
                <w:szCs w:val="20"/>
              </w:rPr>
              <w:t xml:space="preserve">Kako se radi o značajnom povećanju pokrivenosti bakrenom mrežom, potrebno je provjeriti navedene podatke i utvrditi o čemu se točno radi s obzirom da nije realno tako značajno proširenje bakrene mreže u trenutku kad se intenzivno grade svjetlovodne mreže na cijelom području RH. </w:t>
            </w:r>
          </w:p>
          <w:p w14:paraId="235F2EEA" w14:textId="77777777" w:rsidR="00132EA6" w:rsidRPr="00D374AD" w:rsidRDefault="00132EA6" w:rsidP="00132EA6">
            <w:pPr>
              <w:jc w:val="both"/>
              <w:rPr>
                <w:rFonts w:asciiTheme="minorHAnsi" w:hAnsiTheme="minorHAnsi" w:cstheme="minorHAnsi"/>
                <w:sz w:val="20"/>
                <w:szCs w:val="20"/>
              </w:rPr>
            </w:pPr>
          </w:p>
          <w:p w14:paraId="42C5C5E8" w14:textId="170147D6" w:rsidR="00132EA6" w:rsidRPr="00D374AD" w:rsidRDefault="00132EA6" w:rsidP="00D374AD">
            <w:pPr>
              <w:jc w:val="both"/>
              <w:rPr>
                <w:rFonts w:asciiTheme="minorHAnsi" w:hAnsiTheme="minorHAnsi" w:cstheme="minorHAnsi"/>
                <w:sz w:val="20"/>
                <w:szCs w:val="20"/>
              </w:rPr>
            </w:pPr>
            <w:r w:rsidRPr="00D374AD">
              <w:rPr>
                <w:rFonts w:asciiTheme="minorHAnsi" w:hAnsiTheme="minorHAnsi" w:cstheme="minorHAnsi"/>
                <w:sz w:val="20"/>
                <w:szCs w:val="20"/>
              </w:rPr>
              <w:t>Iako nije potpuno jasno je li direktno povezano s ovom promjenom pokrivenosti bakrenom mrežom, A1 ukazuje i na nelogičnost u rezultatima troškovnog modela vezanu za duljinu kabela bakrene pristupne mreže navedenu na stranici 13 popratnog dokumenta prema kojima ukupna duljina bakrenih kabela u novoj verziji modela raste za preko 15.000 km (sa 69.128 u 2020. u prethodnoj verziji modela na 84.975 km u 2023. u novoj verziji), do</w:t>
            </w:r>
            <w:r w:rsidR="00823BEB" w:rsidRPr="00D374AD">
              <w:rPr>
                <w:rFonts w:asciiTheme="minorHAnsi" w:hAnsiTheme="minorHAnsi" w:cstheme="minorHAnsi"/>
                <w:sz w:val="20"/>
                <w:szCs w:val="20"/>
              </w:rPr>
              <w:t>k u isto vrijeme do 2027.</w:t>
            </w:r>
            <w:r w:rsidRPr="00D374AD">
              <w:rPr>
                <w:rFonts w:asciiTheme="minorHAnsi" w:hAnsiTheme="minorHAnsi" w:cstheme="minorHAnsi"/>
                <w:sz w:val="20"/>
                <w:szCs w:val="20"/>
              </w:rPr>
              <w:t xml:space="preserve"> ukupna duljina optičkih kabela ne prelazi brojku od 13.000 km, unatoč činjenici da se intenzivno grade optičke mreže, a bakrena mreža je u fazi (ili blizu) gašenja. Stoga je potpuno nelogično tako značajno povećanje duljine kabela bakrene mreže, pogotovo kad se postavi u odnos s kabelima optičke mreže.</w:t>
            </w:r>
          </w:p>
        </w:tc>
        <w:tc>
          <w:tcPr>
            <w:tcW w:w="1936" w:type="pct"/>
            <w:tcBorders>
              <w:top w:val="single" w:sz="6" w:space="0" w:color="CCCCCC"/>
              <w:left w:val="single" w:sz="6" w:space="0" w:color="CCCCCC"/>
              <w:bottom w:val="single" w:sz="6" w:space="0" w:color="CCCCCC"/>
              <w:right w:val="single" w:sz="6" w:space="0" w:color="CCCCCC"/>
            </w:tcBorders>
          </w:tcPr>
          <w:p w14:paraId="5C7B6432" w14:textId="77777777" w:rsidR="006843E1" w:rsidRDefault="006843E1" w:rsidP="00C14C99">
            <w:pPr>
              <w:jc w:val="both"/>
              <w:rPr>
                <w:rFonts w:asciiTheme="minorHAnsi" w:hAnsiTheme="minorHAnsi" w:cstheme="minorHAnsi"/>
                <w:sz w:val="20"/>
                <w:szCs w:val="20"/>
              </w:rPr>
            </w:pPr>
            <w:r>
              <w:rPr>
                <w:rFonts w:asciiTheme="minorHAnsi" w:hAnsiTheme="minorHAnsi" w:cstheme="minorHAnsi"/>
                <w:sz w:val="20"/>
                <w:szCs w:val="20"/>
              </w:rPr>
              <w:t>T</w:t>
            </w:r>
            <w:r w:rsidRPr="001277BF">
              <w:rPr>
                <w:rFonts w:asciiTheme="minorHAnsi" w:hAnsiTheme="minorHAnsi" w:cstheme="minorHAnsi"/>
                <w:sz w:val="20"/>
                <w:szCs w:val="20"/>
              </w:rPr>
              <w:t xml:space="preserve">rend pada broja linija realiziranih putem bakra i rast broja linija realiziranih putem </w:t>
            </w:r>
            <w:r>
              <w:rPr>
                <w:rFonts w:asciiTheme="minorHAnsi" w:hAnsiTheme="minorHAnsi" w:cstheme="minorHAnsi"/>
                <w:sz w:val="20"/>
                <w:szCs w:val="20"/>
              </w:rPr>
              <w:t xml:space="preserve">svjetlovoda na koji ukazuje A1 </w:t>
            </w:r>
            <w:r w:rsidRPr="006843E1">
              <w:rPr>
                <w:rFonts w:asciiTheme="minorHAnsi" w:hAnsiTheme="minorHAnsi" w:cstheme="minorHAnsi"/>
                <w:sz w:val="20"/>
                <w:szCs w:val="20"/>
              </w:rPr>
              <w:t>bio je prisutan u Troškovnom modelu i prije ažuriranja, a radi se o tome da se pretpostavlja da će se dio linija koje se trenutno ostvaruju putem bakrene mreže HT-a migrirati i na mreže alternativnih operatora koje također imaju značajno pokrivanje, a ne samo na svjetlovodnu mrežu HT-a.</w:t>
            </w:r>
          </w:p>
          <w:p w14:paraId="76019574" w14:textId="77777777" w:rsidR="006843E1" w:rsidRDefault="006843E1" w:rsidP="006843E1">
            <w:pPr>
              <w:ind w:left="39"/>
              <w:jc w:val="both"/>
              <w:rPr>
                <w:rFonts w:asciiTheme="minorHAnsi" w:hAnsiTheme="minorHAnsi" w:cstheme="minorHAnsi"/>
                <w:sz w:val="20"/>
                <w:szCs w:val="20"/>
              </w:rPr>
            </w:pPr>
          </w:p>
          <w:p w14:paraId="2810943E" w14:textId="77777777" w:rsidR="00132EA6" w:rsidRDefault="006843E1" w:rsidP="0034609A">
            <w:pPr>
              <w:ind w:left="39"/>
              <w:jc w:val="both"/>
              <w:rPr>
                <w:rFonts w:asciiTheme="minorHAnsi" w:hAnsiTheme="minorHAnsi" w:cstheme="minorHAnsi"/>
                <w:sz w:val="20"/>
                <w:szCs w:val="20"/>
              </w:rPr>
            </w:pPr>
            <w:r w:rsidRPr="006843E1">
              <w:rPr>
                <w:rFonts w:asciiTheme="minorHAnsi" w:hAnsiTheme="minorHAnsi" w:cstheme="minorHAnsi"/>
                <w:sz w:val="20"/>
                <w:szCs w:val="20"/>
              </w:rPr>
              <w:t xml:space="preserve">HAKOM je potražnju u Troškovnom modelu odredio temeljem jednakih pretpostavki kao i kod izrade </w:t>
            </w:r>
            <w:proofErr w:type="spellStart"/>
            <w:r w:rsidRPr="006843E1">
              <w:rPr>
                <w:rFonts w:asciiTheme="minorHAnsi" w:hAnsiTheme="minorHAnsi" w:cstheme="minorHAnsi"/>
                <w:sz w:val="20"/>
                <w:szCs w:val="20"/>
              </w:rPr>
              <w:t>incijalne</w:t>
            </w:r>
            <w:proofErr w:type="spellEnd"/>
            <w:r w:rsidRPr="006843E1">
              <w:rPr>
                <w:rFonts w:asciiTheme="minorHAnsi" w:hAnsiTheme="minorHAnsi" w:cstheme="minorHAnsi"/>
                <w:sz w:val="20"/>
                <w:szCs w:val="20"/>
              </w:rPr>
              <w:t xml:space="preserve"> verzije Troškovnog modela. </w:t>
            </w:r>
            <w:r>
              <w:rPr>
                <w:rFonts w:asciiTheme="minorHAnsi" w:hAnsiTheme="minorHAnsi" w:cstheme="minorHAnsi"/>
                <w:sz w:val="20"/>
                <w:szCs w:val="20"/>
              </w:rPr>
              <w:t>A</w:t>
            </w:r>
            <w:r w:rsidRPr="006843E1">
              <w:rPr>
                <w:rFonts w:asciiTheme="minorHAnsi" w:hAnsiTheme="minorHAnsi" w:cstheme="minorHAnsi"/>
                <w:sz w:val="20"/>
                <w:szCs w:val="20"/>
              </w:rPr>
              <w:t xml:space="preserve">lternativni operatori povećavaju područja pokrivanja svojih mreža te najavljuju da će se takve aktivnosti nastaviti i u budućnosti. </w:t>
            </w:r>
            <w:r>
              <w:rPr>
                <w:rFonts w:asciiTheme="minorHAnsi" w:hAnsiTheme="minorHAnsi" w:cstheme="minorHAnsi"/>
                <w:sz w:val="20"/>
                <w:szCs w:val="20"/>
              </w:rPr>
              <w:t>Stoga</w:t>
            </w:r>
            <w:r w:rsidRPr="006843E1">
              <w:rPr>
                <w:rFonts w:asciiTheme="minorHAnsi" w:hAnsiTheme="minorHAnsi" w:cstheme="minorHAnsi"/>
                <w:sz w:val="20"/>
                <w:szCs w:val="20"/>
              </w:rPr>
              <w:t xml:space="preserve"> se može očekivati da će se relativno veliki dio trenutno aktivnih linija koje se ost</w:t>
            </w:r>
            <w:r>
              <w:rPr>
                <w:rFonts w:asciiTheme="minorHAnsi" w:hAnsiTheme="minorHAnsi" w:cstheme="minorHAnsi"/>
                <w:sz w:val="20"/>
                <w:szCs w:val="20"/>
              </w:rPr>
              <w:t>va</w:t>
            </w:r>
            <w:r w:rsidRPr="006843E1">
              <w:rPr>
                <w:rFonts w:asciiTheme="minorHAnsi" w:hAnsiTheme="minorHAnsi" w:cstheme="minorHAnsi"/>
                <w:sz w:val="20"/>
                <w:szCs w:val="20"/>
              </w:rPr>
              <w:t xml:space="preserve">ruju putem bakrene mreže HT-a migrirati na svjetlovodne mreže alternativnih operatora. To posebice vrijedi za područja koja HT neće pokriti vlastitom svjetlovodnom mrežom u modeliranom razdoblju. Dodatno, </w:t>
            </w:r>
            <w:r w:rsidR="0034609A">
              <w:rPr>
                <w:rFonts w:asciiTheme="minorHAnsi" w:hAnsiTheme="minorHAnsi" w:cstheme="minorHAnsi"/>
                <w:sz w:val="20"/>
                <w:szCs w:val="20"/>
              </w:rPr>
              <w:t>potrebno je</w:t>
            </w:r>
            <w:r w:rsidRPr="006843E1">
              <w:rPr>
                <w:rFonts w:asciiTheme="minorHAnsi" w:hAnsiTheme="minorHAnsi" w:cstheme="minorHAnsi"/>
                <w:sz w:val="20"/>
                <w:szCs w:val="20"/>
              </w:rPr>
              <w:t xml:space="preserve"> istaknuti da je trend pada ukupne potražnje za uslugama na mreži HT-a vidljiv i iz povijesnih podataka, a </w:t>
            </w:r>
            <w:r w:rsidR="0034609A">
              <w:rPr>
                <w:rFonts w:asciiTheme="minorHAnsi" w:hAnsiTheme="minorHAnsi" w:cstheme="minorHAnsi"/>
                <w:sz w:val="20"/>
                <w:szCs w:val="20"/>
              </w:rPr>
              <w:t>takav trend se očekuje</w:t>
            </w:r>
            <w:r w:rsidRPr="006843E1">
              <w:rPr>
                <w:rFonts w:asciiTheme="minorHAnsi" w:hAnsiTheme="minorHAnsi" w:cstheme="minorHAnsi"/>
                <w:sz w:val="20"/>
                <w:szCs w:val="20"/>
              </w:rPr>
              <w:t xml:space="preserve"> i u budućem razdoblju.</w:t>
            </w:r>
          </w:p>
          <w:p w14:paraId="26BC6048" w14:textId="77777777" w:rsidR="0034609A" w:rsidRDefault="0034609A" w:rsidP="0034609A">
            <w:pPr>
              <w:ind w:left="39"/>
              <w:jc w:val="both"/>
              <w:rPr>
                <w:rFonts w:asciiTheme="minorHAnsi" w:hAnsiTheme="minorHAnsi" w:cstheme="minorHAnsi"/>
                <w:sz w:val="20"/>
                <w:szCs w:val="20"/>
              </w:rPr>
            </w:pPr>
          </w:p>
          <w:p w14:paraId="68C4F12A" w14:textId="77777777" w:rsidR="0034609A" w:rsidRDefault="0034609A" w:rsidP="0034609A">
            <w:pPr>
              <w:ind w:left="39"/>
              <w:jc w:val="both"/>
              <w:rPr>
                <w:rFonts w:asciiTheme="minorHAnsi" w:hAnsiTheme="minorHAnsi" w:cstheme="minorHAnsi"/>
                <w:sz w:val="20"/>
                <w:szCs w:val="20"/>
              </w:rPr>
            </w:pPr>
          </w:p>
          <w:p w14:paraId="74CCFAC1" w14:textId="77777777" w:rsidR="0034609A" w:rsidRDefault="0034609A" w:rsidP="0034609A">
            <w:pPr>
              <w:ind w:left="39"/>
              <w:jc w:val="both"/>
              <w:rPr>
                <w:rFonts w:asciiTheme="minorHAnsi" w:hAnsiTheme="minorHAnsi" w:cstheme="minorHAnsi"/>
                <w:sz w:val="20"/>
                <w:szCs w:val="20"/>
              </w:rPr>
            </w:pPr>
          </w:p>
          <w:p w14:paraId="6C4CE97C" w14:textId="77777777" w:rsidR="0034609A" w:rsidRDefault="0034609A" w:rsidP="0034609A">
            <w:pPr>
              <w:ind w:left="39"/>
              <w:jc w:val="both"/>
              <w:rPr>
                <w:rFonts w:asciiTheme="minorHAnsi" w:hAnsiTheme="minorHAnsi" w:cstheme="minorHAnsi"/>
                <w:sz w:val="20"/>
                <w:szCs w:val="20"/>
              </w:rPr>
            </w:pPr>
          </w:p>
          <w:p w14:paraId="4BF3FACA" w14:textId="77777777" w:rsidR="0034609A" w:rsidRDefault="0034609A" w:rsidP="00C14C99">
            <w:pPr>
              <w:jc w:val="both"/>
              <w:rPr>
                <w:rFonts w:asciiTheme="minorHAnsi" w:hAnsiTheme="minorHAnsi" w:cstheme="minorHAnsi"/>
                <w:sz w:val="20"/>
                <w:szCs w:val="20"/>
              </w:rPr>
            </w:pPr>
            <w:r w:rsidRPr="0034609A">
              <w:rPr>
                <w:rFonts w:asciiTheme="minorHAnsi" w:hAnsiTheme="minorHAnsi" w:cstheme="minorHAnsi"/>
                <w:sz w:val="20"/>
                <w:szCs w:val="20"/>
              </w:rPr>
              <w:t xml:space="preserve">Razlog razlici u broju </w:t>
            </w:r>
            <w:proofErr w:type="spellStart"/>
            <w:r w:rsidRPr="0034609A">
              <w:rPr>
                <w:rFonts w:asciiTheme="minorHAnsi" w:hAnsiTheme="minorHAnsi" w:cstheme="minorHAnsi"/>
                <w:sz w:val="20"/>
                <w:szCs w:val="20"/>
              </w:rPr>
              <w:t>retail</w:t>
            </w:r>
            <w:proofErr w:type="spellEnd"/>
            <w:r w:rsidRPr="0034609A">
              <w:rPr>
                <w:rFonts w:asciiTheme="minorHAnsi" w:hAnsiTheme="minorHAnsi" w:cstheme="minorHAnsi"/>
                <w:sz w:val="20"/>
                <w:szCs w:val="20"/>
              </w:rPr>
              <w:t xml:space="preserve"> </w:t>
            </w:r>
            <w:proofErr w:type="spellStart"/>
            <w:r w:rsidRPr="0034609A">
              <w:rPr>
                <w:rFonts w:asciiTheme="minorHAnsi" w:hAnsiTheme="minorHAnsi" w:cstheme="minorHAnsi"/>
                <w:sz w:val="20"/>
                <w:szCs w:val="20"/>
              </w:rPr>
              <w:t>access</w:t>
            </w:r>
            <w:proofErr w:type="spellEnd"/>
            <w:r w:rsidRPr="0034609A">
              <w:rPr>
                <w:rFonts w:asciiTheme="minorHAnsi" w:hAnsiTheme="minorHAnsi" w:cstheme="minorHAnsi"/>
                <w:sz w:val="20"/>
                <w:szCs w:val="20"/>
              </w:rPr>
              <w:t xml:space="preserve"> i </w:t>
            </w:r>
            <w:proofErr w:type="spellStart"/>
            <w:r w:rsidRPr="0034609A">
              <w:rPr>
                <w:rFonts w:asciiTheme="minorHAnsi" w:hAnsiTheme="minorHAnsi" w:cstheme="minorHAnsi"/>
                <w:sz w:val="20"/>
                <w:szCs w:val="20"/>
              </w:rPr>
              <w:t>broadband</w:t>
            </w:r>
            <w:proofErr w:type="spellEnd"/>
            <w:r w:rsidRPr="0034609A">
              <w:rPr>
                <w:rFonts w:asciiTheme="minorHAnsi" w:hAnsiTheme="minorHAnsi" w:cstheme="minorHAnsi"/>
                <w:sz w:val="20"/>
                <w:szCs w:val="20"/>
              </w:rPr>
              <w:t xml:space="preserve"> </w:t>
            </w:r>
            <w:proofErr w:type="spellStart"/>
            <w:r w:rsidRPr="0034609A">
              <w:rPr>
                <w:rFonts w:asciiTheme="minorHAnsi" w:hAnsiTheme="minorHAnsi" w:cstheme="minorHAnsi"/>
                <w:sz w:val="20"/>
                <w:szCs w:val="20"/>
              </w:rPr>
              <w:t>FTTH</w:t>
            </w:r>
            <w:proofErr w:type="spellEnd"/>
            <w:r w:rsidRPr="0034609A">
              <w:rPr>
                <w:rFonts w:asciiTheme="minorHAnsi" w:hAnsiTheme="minorHAnsi" w:cstheme="minorHAnsi"/>
                <w:sz w:val="20"/>
                <w:szCs w:val="20"/>
              </w:rPr>
              <w:t>/</w:t>
            </w:r>
            <w:proofErr w:type="spellStart"/>
            <w:r w:rsidRPr="0034609A">
              <w:rPr>
                <w:rFonts w:asciiTheme="minorHAnsi" w:hAnsiTheme="minorHAnsi" w:cstheme="minorHAnsi"/>
                <w:sz w:val="20"/>
                <w:szCs w:val="20"/>
              </w:rPr>
              <w:t>FTTB</w:t>
            </w:r>
            <w:proofErr w:type="spellEnd"/>
            <w:r w:rsidRPr="0034609A">
              <w:rPr>
                <w:rFonts w:asciiTheme="minorHAnsi" w:hAnsiTheme="minorHAnsi" w:cstheme="minorHAnsi"/>
                <w:sz w:val="20"/>
                <w:szCs w:val="20"/>
              </w:rPr>
              <w:t>/</w:t>
            </w:r>
            <w:proofErr w:type="spellStart"/>
            <w:r w:rsidRPr="0034609A">
              <w:rPr>
                <w:rFonts w:asciiTheme="minorHAnsi" w:hAnsiTheme="minorHAnsi" w:cstheme="minorHAnsi"/>
                <w:sz w:val="20"/>
                <w:szCs w:val="20"/>
              </w:rPr>
              <w:t>FTDP</w:t>
            </w:r>
            <w:proofErr w:type="spellEnd"/>
            <w:r w:rsidRPr="0034609A">
              <w:rPr>
                <w:rFonts w:asciiTheme="minorHAnsi" w:hAnsiTheme="minorHAnsi" w:cstheme="minorHAnsi"/>
                <w:sz w:val="20"/>
                <w:szCs w:val="20"/>
              </w:rPr>
              <w:t xml:space="preserve"> </w:t>
            </w:r>
            <w:r>
              <w:rPr>
                <w:rFonts w:asciiTheme="minorHAnsi" w:hAnsiTheme="minorHAnsi" w:cstheme="minorHAnsi"/>
                <w:sz w:val="20"/>
                <w:szCs w:val="20"/>
              </w:rPr>
              <w:t xml:space="preserve">linija </w:t>
            </w:r>
            <w:r w:rsidRPr="0034609A">
              <w:rPr>
                <w:rFonts w:asciiTheme="minorHAnsi" w:hAnsiTheme="minorHAnsi" w:cstheme="minorHAnsi"/>
                <w:sz w:val="20"/>
                <w:szCs w:val="20"/>
              </w:rPr>
              <w:t xml:space="preserve">leži u činjenici da HT dio </w:t>
            </w:r>
            <w:proofErr w:type="spellStart"/>
            <w:r w:rsidRPr="0034609A">
              <w:rPr>
                <w:rFonts w:asciiTheme="minorHAnsi" w:hAnsiTheme="minorHAnsi" w:cstheme="minorHAnsi"/>
                <w:sz w:val="20"/>
                <w:szCs w:val="20"/>
              </w:rPr>
              <w:t>broadband</w:t>
            </w:r>
            <w:proofErr w:type="spellEnd"/>
            <w:r w:rsidRPr="0034609A">
              <w:rPr>
                <w:rFonts w:asciiTheme="minorHAnsi" w:hAnsiTheme="minorHAnsi" w:cstheme="minorHAnsi"/>
                <w:sz w:val="20"/>
                <w:szCs w:val="20"/>
              </w:rPr>
              <w:t xml:space="preserve"> linija realizira putem velepr</w:t>
            </w:r>
            <w:r>
              <w:rPr>
                <w:rFonts w:asciiTheme="minorHAnsi" w:hAnsiTheme="minorHAnsi" w:cstheme="minorHAnsi"/>
                <w:sz w:val="20"/>
                <w:szCs w:val="20"/>
              </w:rPr>
              <w:t xml:space="preserve">odajne usluge najma niti </w:t>
            </w:r>
            <w:proofErr w:type="spellStart"/>
            <w:r>
              <w:rPr>
                <w:rFonts w:asciiTheme="minorHAnsi" w:hAnsiTheme="minorHAnsi" w:cstheme="minorHAnsi"/>
                <w:sz w:val="20"/>
                <w:szCs w:val="20"/>
              </w:rPr>
              <w:t>SDM</w:t>
            </w:r>
            <w:proofErr w:type="spellEnd"/>
            <w:r>
              <w:rPr>
                <w:rFonts w:asciiTheme="minorHAnsi" w:hAnsiTheme="minorHAnsi" w:cstheme="minorHAnsi"/>
                <w:sz w:val="20"/>
                <w:szCs w:val="20"/>
              </w:rPr>
              <w:t xml:space="preserve">-a </w:t>
            </w:r>
            <w:r w:rsidRPr="0034609A">
              <w:rPr>
                <w:rFonts w:asciiTheme="minorHAnsi" w:hAnsiTheme="minorHAnsi" w:cstheme="minorHAnsi"/>
                <w:sz w:val="20"/>
                <w:szCs w:val="20"/>
              </w:rPr>
              <w:t xml:space="preserve">drugih operatora. Također, broj </w:t>
            </w:r>
            <w:proofErr w:type="spellStart"/>
            <w:r w:rsidRPr="0034609A">
              <w:rPr>
                <w:rFonts w:asciiTheme="minorHAnsi" w:hAnsiTheme="minorHAnsi" w:cstheme="minorHAnsi"/>
                <w:sz w:val="20"/>
                <w:szCs w:val="20"/>
              </w:rPr>
              <w:t>retail</w:t>
            </w:r>
            <w:proofErr w:type="spellEnd"/>
            <w:r w:rsidRPr="0034609A">
              <w:rPr>
                <w:rFonts w:asciiTheme="minorHAnsi" w:hAnsiTheme="minorHAnsi" w:cstheme="minorHAnsi"/>
                <w:sz w:val="20"/>
                <w:szCs w:val="20"/>
              </w:rPr>
              <w:t xml:space="preserve"> </w:t>
            </w:r>
            <w:proofErr w:type="spellStart"/>
            <w:r w:rsidRPr="0034609A">
              <w:rPr>
                <w:rFonts w:asciiTheme="minorHAnsi" w:hAnsiTheme="minorHAnsi" w:cstheme="minorHAnsi"/>
                <w:sz w:val="20"/>
                <w:szCs w:val="20"/>
              </w:rPr>
              <w:t>access</w:t>
            </w:r>
            <w:proofErr w:type="spellEnd"/>
            <w:r w:rsidRPr="0034609A">
              <w:rPr>
                <w:rFonts w:asciiTheme="minorHAnsi" w:hAnsiTheme="minorHAnsi" w:cstheme="minorHAnsi"/>
                <w:sz w:val="20"/>
                <w:szCs w:val="20"/>
              </w:rPr>
              <w:t xml:space="preserve"> i </w:t>
            </w:r>
            <w:proofErr w:type="spellStart"/>
            <w:r w:rsidRPr="0034609A">
              <w:rPr>
                <w:rFonts w:asciiTheme="minorHAnsi" w:hAnsiTheme="minorHAnsi" w:cstheme="minorHAnsi"/>
                <w:sz w:val="20"/>
                <w:szCs w:val="20"/>
              </w:rPr>
              <w:t>brodaband</w:t>
            </w:r>
            <w:proofErr w:type="spellEnd"/>
            <w:r w:rsidRPr="0034609A">
              <w:rPr>
                <w:rFonts w:asciiTheme="minorHAnsi" w:hAnsiTheme="minorHAnsi" w:cstheme="minorHAnsi"/>
                <w:sz w:val="20"/>
                <w:szCs w:val="20"/>
              </w:rPr>
              <w:t xml:space="preserve"> </w:t>
            </w:r>
            <w:proofErr w:type="spellStart"/>
            <w:r w:rsidRPr="0034609A">
              <w:rPr>
                <w:rFonts w:asciiTheme="minorHAnsi" w:hAnsiTheme="minorHAnsi" w:cstheme="minorHAnsi"/>
                <w:sz w:val="20"/>
                <w:szCs w:val="20"/>
              </w:rPr>
              <w:t>FTTTH</w:t>
            </w:r>
            <w:proofErr w:type="spellEnd"/>
            <w:r w:rsidRPr="0034609A">
              <w:rPr>
                <w:rFonts w:asciiTheme="minorHAnsi" w:hAnsiTheme="minorHAnsi" w:cstheme="minorHAnsi"/>
                <w:sz w:val="20"/>
                <w:szCs w:val="20"/>
              </w:rPr>
              <w:t>/</w:t>
            </w:r>
            <w:proofErr w:type="spellStart"/>
            <w:r w:rsidRPr="0034609A">
              <w:rPr>
                <w:rFonts w:asciiTheme="minorHAnsi" w:hAnsiTheme="minorHAnsi" w:cstheme="minorHAnsi"/>
                <w:sz w:val="20"/>
                <w:szCs w:val="20"/>
              </w:rPr>
              <w:t>FTTDP</w:t>
            </w:r>
            <w:proofErr w:type="spellEnd"/>
            <w:r w:rsidRPr="0034609A">
              <w:rPr>
                <w:rFonts w:asciiTheme="minorHAnsi" w:hAnsiTheme="minorHAnsi" w:cstheme="minorHAnsi"/>
                <w:sz w:val="20"/>
                <w:szCs w:val="20"/>
              </w:rPr>
              <w:t>/</w:t>
            </w:r>
            <w:proofErr w:type="spellStart"/>
            <w:r w:rsidRPr="0034609A">
              <w:rPr>
                <w:rFonts w:asciiTheme="minorHAnsi" w:hAnsiTheme="minorHAnsi" w:cstheme="minorHAnsi"/>
                <w:sz w:val="20"/>
                <w:szCs w:val="20"/>
              </w:rPr>
              <w:t>FTTB</w:t>
            </w:r>
            <w:proofErr w:type="spellEnd"/>
            <w:r w:rsidRPr="0034609A">
              <w:rPr>
                <w:rFonts w:asciiTheme="minorHAnsi" w:hAnsiTheme="minorHAnsi" w:cstheme="minorHAnsi"/>
                <w:sz w:val="20"/>
                <w:szCs w:val="20"/>
              </w:rPr>
              <w:t xml:space="preserve"> linija može biti različit zbog toga što HT planira da određeni dio </w:t>
            </w:r>
            <w:proofErr w:type="spellStart"/>
            <w:r w:rsidRPr="0034609A">
              <w:rPr>
                <w:rFonts w:asciiTheme="minorHAnsi" w:hAnsiTheme="minorHAnsi" w:cstheme="minorHAnsi"/>
                <w:sz w:val="20"/>
                <w:szCs w:val="20"/>
              </w:rPr>
              <w:t>retail</w:t>
            </w:r>
            <w:proofErr w:type="spellEnd"/>
            <w:r w:rsidRPr="0034609A">
              <w:rPr>
                <w:rFonts w:asciiTheme="minorHAnsi" w:hAnsiTheme="minorHAnsi" w:cstheme="minorHAnsi"/>
                <w:sz w:val="20"/>
                <w:szCs w:val="20"/>
              </w:rPr>
              <w:t xml:space="preserve"> </w:t>
            </w:r>
            <w:proofErr w:type="spellStart"/>
            <w:r w:rsidRPr="0034609A">
              <w:rPr>
                <w:rFonts w:asciiTheme="minorHAnsi" w:hAnsiTheme="minorHAnsi" w:cstheme="minorHAnsi"/>
                <w:sz w:val="20"/>
                <w:szCs w:val="20"/>
              </w:rPr>
              <w:t>access</w:t>
            </w:r>
            <w:proofErr w:type="spellEnd"/>
            <w:r w:rsidRPr="0034609A">
              <w:rPr>
                <w:rFonts w:asciiTheme="minorHAnsi" w:hAnsiTheme="minorHAnsi" w:cstheme="minorHAnsi"/>
                <w:sz w:val="20"/>
                <w:szCs w:val="20"/>
              </w:rPr>
              <w:t xml:space="preserve"> linija neće biti </w:t>
            </w:r>
            <w:proofErr w:type="spellStart"/>
            <w:r w:rsidRPr="0034609A">
              <w:rPr>
                <w:rFonts w:asciiTheme="minorHAnsi" w:hAnsiTheme="minorHAnsi" w:cstheme="minorHAnsi"/>
                <w:sz w:val="20"/>
                <w:szCs w:val="20"/>
              </w:rPr>
              <w:t>broadband</w:t>
            </w:r>
            <w:proofErr w:type="spellEnd"/>
            <w:r w:rsidRPr="0034609A">
              <w:rPr>
                <w:rFonts w:asciiTheme="minorHAnsi" w:hAnsiTheme="minorHAnsi" w:cstheme="minorHAnsi"/>
                <w:sz w:val="20"/>
                <w:szCs w:val="20"/>
              </w:rPr>
              <w:t xml:space="preserve"> linije (korisnici samo telefonskih usluga).</w:t>
            </w:r>
          </w:p>
          <w:p w14:paraId="691A3F07" w14:textId="77777777" w:rsidR="0034609A" w:rsidRDefault="0034609A" w:rsidP="0034609A">
            <w:pPr>
              <w:ind w:left="39"/>
              <w:jc w:val="both"/>
              <w:rPr>
                <w:rFonts w:asciiTheme="minorHAnsi" w:hAnsiTheme="minorHAnsi" w:cstheme="minorHAnsi"/>
                <w:sz w:val="20"/>
                <w:szCs w:val="20"/>
              </w:rPr>
            </w:pPr>
          </w:p>
          <w:p w14:paraId="635DD72A" w14:textId="77777777" w:rsidR="0034609A" w:rsidRDefault="0034609A" w:rsidP="0034609A">
            <w:pPr>
              <w:ind w:left="39"/>
              <w:jc w:val="both"/>
              <w:rPr>
                <w:rFonts w:asciiTheme="minorHAnsi" w:hAnsiTheme="minorHAnsi" w:cstheme="minorHAnsi"/>
                <w:sz w:val="20"/>
                <w:szCs w:val="20"/>
              </w:rPr>
            </w:pPr>
            <w:r>
              <w:rPr>
                <w:rFonts w:asciiTheme="minorHAnsi" w:hAnsiTheme="minorHAnsi" w:cstheme="minorHAnsi"/>
                <w:sz w:val="20"/>
                <w:szCs w:val="20"/>
              </w:rPr>
              <w:t xml:space="preserve">Vezano uz </w:t>
            </w:r>
            <w:r w:rsidRPr="00D374AD">
              <w:rPr>
                <w:rFonts w:asciiTheme="minorHAnsi" w:hAnsiTheme="minorHAnsi" w:cstheme="minorHAnsi"/>
                <w:sz w:val="20"/>
                <w:szCs w:val="20"/>
              </w:rPr>
              <w:t xml:space="preserve">omjer </w:t>
            </w:r>
            <w:proofErr w:type="spellStart"/>
            <w:r w:rsidRPr="00D374AD">
              <w:rPr>
                <w:rFonts w:asciiTheme="minorHAnsi" w:hAnsiTheme="minorHAnsi" w:cstheme="minorHAnsi"/>
                <w:sz w:val="20"/>
                <w:szCs w:val="20"/>
              </w:rPr>
              <w:t>broadband</w:t>
            </w:r>
            <w:proofErr w:type="spellEnd"/>
            <w:r w:rsidRPr="00D374AD">
              <w:rPr>
                <w:rFonts w:asciiTheme="minorHAnsi" w:hAnsiTheme="minorHAnsi" w:cstheme="minorHAnsi"/>
                <w:sz w:val="20"/>
                <w:szCs w:val="20"/>
              </w:rPr>
              <w:t xml:space="preserve"> linija u odnosu na </w:t>
            </w:r>
            <w:proofErr w:type="spellStart"/>
            <w:r w:rsidRPr="00D374AD">
              <w:rPr>
                <w:rFonts w:asciiTheme="minorHAnsi" w:hAnsiTheme="minorHAnsi" w:cstheme="minorHAnsi"/>
                <w:sz w:val="20"/>
                <w:szCs w:val="20"/>
              </w:rPr>
              <w:t>access</w:t>
            </w:r>
            <w:proofErr w:type="spellEnd"/>
            <w:r w:rsidRPr="00D374AD">
              <w:rPr>
                <w:rFonts w:asciiTheme="minorHAnsi" w:hAnsiTheme="minorHAnsi" w:cstheme="minorHAnsi"/>
                <w:sz w:val="20"/>
                <w:szCs w:val="20"/>
              </w:rPr>
              <w:t xml:space="preserve"> linije putem bakrene mreže</w:t>
            </w:r>
            <w:r>
              <w:rPr>
                <w:rFonts w:asciiTheme="minorHAnsi" w:hAnsiTheme="minorHAnsi" w:cstheme="minorHAnsi"/>
                <w:sz w:val="20"/>
                <w:szCs w:val="20"/>
              </w:rPr>
              <w:t>, p</w:t>
            </w:r>
            <w:r w:rsidRPr="0034609A">
              <w:rPr>
                <w:rFonts w:asciiTheme="minorHAnsi" w:hAnsiTheme="minorHAnsi" w:cstheme="minorHAnsi"/>
                <w:sz w:val="20"/>
                <w:szCs w:val="20"/>
              </w:rPr>
              <w:t xml:space="preserve">rilikom izračuna procijenjene buduće potražnje napravljena je pogreška koja je u novoj verziji troškovnog modela uklonjena te je udio linija koje nisu </w:t>
            </w:r>
            <w:proofErr w:type="spellStart"/>
            <w:r w:rsidRPr="0034609A">
              <w:rPr>
                <w:rFonts w:asciiTheme="minorHAnsi" w:hAnsiTheme="minorHAnsi" w:cstheme="minorHAnsi"/>
                <w:sz w:val="20"/>
                <w:szCs w:val="20"/>
              </w:rPr>
              <w:t>broadband</w:t>
            </w:r>
            <w:proofErr w:type="spellEnd"/>
            <w:r w:rsidRPr="0034609A">
              <w:rPr>
                <w:rFonts w:asciiTheme="minorHAnsi" w:hAnsiTheme="minorHAnsi" w:cstheme="minorHAnsi"/>
                <w:sz w:val="20"/>
                <w:szCs w:val="20"/>
              </w:rPr>
              <w:t xml:space="preserve"> linij</w:t>
            </w:r>
            <w:r>
              <w:rPr>
                <w:rFonts w:asciiTheme="minorHAnsi" w:hAnsiTheme="minorHAnsi" w:cstheme="minorHAnsi"/>
                <w:sz w:val="20"/>
                <w:szCs w:val="20"/>
              </w:rPr>
              <w:t>e smanjen na realne vrijednosti,</w:t>
            </w:r>
            <w:r w:rsidRPr="0034609A">
              <w:rPr>
                <w:rFonts w:asciiTheme="minorHAnsi" w:hAnsiTheme="minorHAnsi" w:cstheme="minorHAnsi"/>
                <w:sz w:val="20"/>
                <w:szCs w:val="20"/>
              </w:rPr>
              <w:t xml:space="preserve"> tako da je predviđeno da je taj omjer 2027</w:t>
            </w:r>
            <w:r>
              <w:rPr>
                <w:rFonts w:asciiTheme="minorHAnsi" w:hAnsiTheme="minorHAnsi" w:cstheme="minorHAnsi"/>
                <w:sz w:val="20"/>
                <w:szCs w:val="20"/>
              </w:rPr>
              <w:t>.</w:t>
            </w:r>
            <w:r w:rsidRPr="0034609A">
              <w:rPr>
                <w:rFonts w:asciiTheme="minorHAnsi" w:hAnsiTheme="minorHAnsi" w:cstheme="minorHAnsi"/>
                <w:sz w:val="20"/>
                <w:szCs w:val="20"/>
              </w:rPr>
              <w:t xml:space="preserve"> oko 100%.</w:t>
            </w:r>
          </w:p>
          <w:p w14:paraId="1E6054FA" w14:textId="77777777" w:rsidR="002C07BD" w:rsidRDefault="002C07BD" w:rsidP="0034609A">
            <w:pPr>
              <w:ind w:left="39"/>
              <w:jc w:val="both"/>
              <w:rPr>
                <w:rFonts w:asciiTheme="minorHAnsi" w:hAnsiTheme="minorHAnsi" w:cstheme="minorHAnsi"/>
                <w:sz w:val="20"/>
                <w:szCs w:val="20"/>
              </w:rPr>
            </w:pPr>
          </w:p>
          <w:p w14:paraId="3976D182" w14:textId="77777777" w:rsidR="002C07BD" w:rsidRDefault="002C07BD" w:rsidP="002C07BD">
            <w:pPr>
              <w:ind w:left="39"/>
              <w:jc w:val="both"/>
              <w:rPr>
                <w:rFonts w:asciiTheme="minorHAnsi" w:hAnsiTheme="minorHAnsi" w:cstheme="minorHAnsi"/>
                <w:sz w:val="20"/>
                <w:szCs w:val="20"/>
              </w:rPr>
            </w:pPr>
            <w:r>
              <w:rPr>
                <w:rFonts w:asciiTheme="minorHAnsi" w:hAnsiTheme="minorHAnsi" w:cstheme="minorHAnsi"/>
                <w:sz w:val="20"/>
                <w:szCs w:val="20"/>
              </w:rPr>
              <w:t xml:space="preserve">Nastavno na navode A1 da su prisutne nelogičnosti </w:t>
            </w:r>
            <w:r w:rsidRPr="00D374AD">
              <w:rPr>
                <w:rFonts w:asciiTheme="minorHAnsi" w:hAnsiTheme="minorHAnsi" w:cstheme="minorHAnsi"/>
                <w:sz w:val="20"/>
                <w:szCs w:val="20"/>
              </w:rPr>
              <w:t>kod ulaznih podataka vezanih uz korišteni kapacitet</w:t>
            </w:r>
            <w:r>
              <w:rPr>
                <w:rFonts w:asciiTheme="minorHAnsi" w:hAnsiTheme="minorHAnsi" w:cstheme="minorHAnsi"/>
                <w:sz w:val="20"/>
                <w:szCs w:val="20"/>
              </w:rPr>
              <w:t>,</w:t>
            </w:r>
            <w:r w:rsidRPr="002C07BD">
              <w:rPr>
                <w:rFonts w:asciiTheme="minorHAnsi" w:hAnsiTheme="minorHAnsi" w:cstheme="minorHAnsi"/>
                <w:sz w:val="20"/>
                <w:szCs w:val="20"/>
              </w:rPr>
              <w:t xml:space="preserve"> HAKOM </w:t>
            </w:r>
            <w:r>
              <w:rPr>
                <w:rFonts w:asciiTheme="minorHAnsi" w:hAnsiTheme="minorHAnsi" w:cstheme="minorHAnsi"/>
                <w:sz w:val="20"/>
                <w:szCs w:val="20"/>
              </w:rPr>
              <w:t xml:space="preserve">je uvidom u Troškovni model </w:t>
            </w:r>
            <w:r w:rsidRPr="002C07BD">
              <w:rPr>
                <w:rFonts w:asciiTheme="minorHAnsi" w:hAnsiTheme="minorHAnsi" w:cstheme="minorHAnsi"/>
                <w:sz w:val="20"/>
                <w:szCs w:val="20"/>
              </w:rPr>
              <w:t xml:space="preserve">utvrdio da je riječ o pogrešci koja je uklonjena na način da je HAKOM </w:t>
            </w:r>
            <w:proofErr w:type="spellStart"/>
            <w:r w:rsidRPr="002C07BD">
              <w:rPr>
                <w:rFonts w:asciiTheme="minorHAnsi" w:hAnsiTheme="minorHAnsi" w:cstheme="minorHAnsi"/>
                <w:sz w:val="20"/>
                <w:szCs w:val="20"/>
              </w:rPr>
              <w:t>primjenio</w:t>
            </w:r>
            <w:proofErr w:type="spellEnd"/>
            <w:r w:rsidRPr="002C07BD">
              <w:rPr>
                <w:rFonts w:asciiTheme="minorHAnsi" w:hAnsiTheme="minorHAnsi" w:cstheme="minorHAnsi"/>
                <w:sz w:val="20"/>
                <w:szCs w:val="20"/>
              </w:rPr>
              <w:t xml:space="preserve"> jednaki prosječni kapacitet po liniji i za maloprodaju i veleprodaju te je na osnovu toga odredio potražnju za kapacitetom na način da je množio broj linija na maloprodaji/veleprodaji s prosječnim kapacitetom.</w:t>
            </w:r>
          </w:p>
          <w:p w14:paraId="63997479" w14:textId="77777777" w:rsidR="00202522" w:rsidRDefault="00202522" w:rsidP="002C07BD">
            <w:pPr>
              <w:ind w:left="39"/>
              <w:jc w:val="both"/>
              <w:rPr>
                <w:rFonts w:asciiTheme="minorHAnsi" w:hAnsiTheme="minorHAnsi" w:cstheme="minorHAnsi"/>
                <w:sz w:val="20"/>
                <w:szCs w:val="20"/>
              </w:rPr>
            </w:pPr>
          </w:p>
          <w:p w14:paraId="473CBC6F" w14:textId="77777777" w:rsidR="00202522" w:rsidRDefault="00202522" w:rsidP="002C07BD">
            <w:pPr>
              <w:ind w:left="39"/>
              <w:jc w:val="both"/>
              <w:rPr>
                <w:rFonts w:asciiTheme="minorHAnsi" w:hAnsiTheme="minorHAnsi" w:cstheme="minorHAnsi"/>
                <w:sz w:val="20"/>
                <w:szCs w:val="20"/>
              </w:rPr>
            </w:pPr>
          </w:p>
          <w:p w14:paraId="69059FE6" w14:textId="77777777" w:rsidR="00202522" w:rsidRDefault="00202522" w:rsidP="002C07BD">
            <w:pPr>
              <w:ind w:left="39"/>
              <w:jc w:val="both"/>
              <w:rPr>
                <w:rFonts w:asciiTheme="minorHAnsi" w:hAnsiTheme="minorHAnsi" w:cstheme="minorHAnsi"/>
                <w:sz w:val="20"/>
                <w:szCs w:val="20"/>
              </w:rPr>
            </w:pPr>
          </w:p>
          <w:p w14:paraId="19BF7C5F" w14:textId="77777777" w:rsidR="00202522" w:rsidRDefault="00202522" w:rsidP="002C07BD">
            <w:pPr>
              <w:ind w:left="39"/>
              <w:jc w:val="both"/>
              <w:rPr>
                <w:rFonts w:asciiTheme="minorHAnsi" w:hAnsiTheme="minorHAnsi" w:cstheme="minorHAnsi"/>
                <w:sz w:val="20"/>
                <w:szCs w:val="20"/>
              </w:rPr>
            </w:pPr>
          </w:p>
          <w:p w14:paraId="18E75297" w14:textId="77777777" w:rsidR="00202522" w:rsidRDefault="00202522" w:rsidP="002C07BD">
            <w:pPr>
              <w:ind w:left="39"/>
              <w:jc w:val="both"/>
              <w:rPr>
                <w:rFonts w:asciiTheme="minorHAnsi" w:hAnsiTheme="minorHAnsi" w:cstheme="minorHAnsi"/>
                <w:sz w:val="20"/>
                <w:szCs w:val="20"/>
              </w:rPr>
            </w:pPr>
          </w:p>
          <w:p w14:paraId="32223990" w14:textId="77777777" w:rsidR="00202522" w:rsidRDefault="00202522" w:rsidP="002C07BD">
            <w:pPr>
              <w:ind w:left="39"/>
              <w:jc w:val="both"/>
              <w:rPr>
                <w:rFonts w:asciiTheme="minorHAnsi" w:hAnsiTheme="minorHAnsi" w:cstheme="minorHAnsi"/>
                <w:sz w:val="20"/>
                <w:szCs w:val="20"/>
              </w:rPr>
            </w:pPr>
          </w:p>
          <w:p w14:paraId="13F76C7E" w14:textId="77777777" w:rsidR="00202522" w:rsidRDefault="00202522" w:rsidP="002C07BD">
            <w:pPr>
              <w:ind w:left="39"/>
              <w:jc w:val="both"/>
              <w:rPr>
                <w:rFonts w:asciiTheme="minorHAnsi" w:hAnsiTheme="minorHAnsi" w:cstheme="minorHAnsi"/>
                <w:sz w:val="20"/>
                <w:szCs w:val="20"/>
              </w:rPr>
            </w:pPr>
          </w:p>
          <w:p w14:paraId="34299FEE" w14:textId="77777777" w:rsidR="00202522" w:rsidRDefault="00202522" w:rsidP="002C07BD">
            <w:pPr>
              <w:ind w:left="39"/>
              <w:jc w:val="both"/>
              <w:rPr>
                <w:rFonts w:asciiTheme="minorHAnsi" w:hAnsiTheme="minorHAnsi" w:cstheme="minorHAnsi"/>
                <w:sz w:val="20"/>
                <w:szCs w:val="20"/>
              </w:rPr>
            </w:pPr>
          </w:p>
          <w:p w14:paraId="16B90C33" w14:textId="77777777" w:rsidR="00202522" w:rsidRDefault="00202522" w:rsidP="002C07BD">
            <w:pPr>
              <w:ind w:left="39"/>
              <w:jc w:val="both"/>
              <w:rPr>
                <w:rFonts w:asciiTheme="minorHAnsi" w:hAnsiTheme="minorHAnsi" w:cstheme="minorHAnsi"/>
                <w:sz w:val="20"/>
                <w:szCs w:val="20"/>
              </w:rPr>
            </w:pPr>
          </w:p>
          <w:p w14:paraId="0FF389F7" w14:textId="77777777" w:rsidR="00202522" w:rsidRDefault="00202522" w:rsidP="002C07BD">
            <w:pPr>
              <w:ind w:left="39"/>
              <w:jc w:val="both"/>
              <w:rPr>
                <w:rFonts w:asciiTheme="minorHAnsi" w:hAnsiTheme="minorHAnsi" w:cstheme="minorHAnsi"/>
                <w:sz w:val="20"/>
                <w:szCs w:val="20"/>
              </w:rPr>
            </w:pPr>
          </w:p>
          <w:p w14:paraId="1AB562FD" w14:textId="77777777" w:rsidR="00202522" w:rsidRDefault="00202522" w:rsidP="002C07BD">
            <w:pPr>
              <w:ind w:left="39"/>
              <w:jc w:val="both"/>
              <w:rPr>
                <w:rFonts w:asciiTheme="minorHAnsi" w:hAnsiTheme="minorHAnsi" w:cstheme="minorHAnsi"/>
                <w:sz w:val="20"/>
                <w:szCs w:val="20"/>
              </w:rPr>
            </w:pPr>
          </w:p>
          <w:p w14:paraId="1BAF854D" w14:textId="77777777" w:rsidR="00202522" w:rsidRDefault="00202522" w:rsidP="002C07BD">
            <w:pPr>
              <w:ind w:left="39"/>
              <w:jc w:val="both"/>
              <w:rPr>
                <w:rFonts w:asciiTheme="minorHAnsi" w:hAnsiTheme="minorHAnsi" w:cstheme="minorHAnsi"/>
                <w:sz w:val="20"/>
                <w:szCs w:val="20"/>
              </w:rPr>
            </w:pPr>
          </w:p>
          <w:p w14:paraId="1B25693C" w14:textId="77777777" w:rsidR="00202522" w:rsidRDefault="00202522" w:rsidP="002C07BD">
            <w:pPr>
              <w:ind w:left="39"/>
              <w:jc w:val="both"/>
              <w:rPr>
                <w:rFonts w:asciiTheme="minorHAnsi" w:hAnsiTheme="minorHAnsi" w:cstheme="minorHAnsi"/>
                <w:sz w:val="20"/>
                <w:szCs w:val="20"/>
              </w:rPr>
            </w:pPr>
          </w:p>
          <w:p w14:paraId="6055FF65" w14:textId="77777777" w:rsidR="00202522" w:rsidRDefault="00202522" w:rsidP="002C07BD">
            <w:pPr>
              <w:ind w:left="39"/>
              <w:jc w:val="both"/>
              <w:rPr>
                <w:rFonts w:asciiTheme="minorHAnsi" w:hAnsiTheme="minorHAnsi" w:cstheme="minorHAnsi"/>
                <w:sz w:val="20"/>
                <w:szCs w:val="20"/>
              </w:rPr>
            </w:pPr>
          </w:p>
          <w:p w14:paraId="56CC9944" w14:textId="77777777" w:rsidR="00202522" w:rsidRDefault="00202522" w:rsidP="002C07BD">
            <w:pPr>
              <w:ind w:left="39"/>
              <w:jc w:val="both"/>
              <w:rPr>
                <w:rFonts w:asciiTheme="minorHAnsi" w:hAnsiTheme="minorHAnsi" w:cstheme="minorHAnsi"/>
                <w:sz w:val="20"/>
                <w:szCs w:val="20"/>
              </w:rPr>
            </w:pPr>
          </w:p>
          <w:p w14:paraId="6F30C831" w14:textId="77777777" w:rsidR="00202522" w:rsidRDefault="00202522" w:rsidP="002C07BD">
            <w:pPr>
              <w:ind w:left="39"/>
              <w:jc w:val="both"/>
              <w:rPr>
                <w:rFonts w:asciiTheme="minorHAnsi" w:hAnsiTheme="minorHAnsi" w:cstheme="minorHAnsi"/>
                <w:sz w:val="20"/>
                <w:szCs w:val="20"/>
              </w:rPr>
            </w:pPr>
          </w:p>
          <w:p w14:paraId="5BF43955" w14:textId="77777777" w:rsidR="00202522" w:rsidRDefault="00202522" w:rsidP="002C07BD">
            <w:pPr>
              <w:ind w:left="39"/>
              <w:jc w:val="both"/>
              <w:rPr>
                <w:rFonts w:asciiTheme="minorHAnsi" w:hAnsiTheme="minorHAnsi" w:cstheme="minorHAnsi"/>
                <w:sz w:val="20"/>
                <w:szCs w:val="20"/>
              </w:rPr>
            </w:pPr>
          </w:p>
          <w:p w14:paraId="43513A0E" w14:textId="77777777" w:rsidR="00202522" w:rsidRDefault="00202522" w:rsidP="002C07BD">
            <w:pPr>
              <w:ind w:left="39"/>
              <w:jc w:val="both"/>
              <w:rPr>
                <w:rFonts w:asciiTheme="minorHAnsi" w:hAnsiTheme="minorHAnsi" w:cstheme="minorHAnsi"/>
                <w:sz w:val="20"/>
                <w:szCs w:val="20"/>
              </w:rPr>
            </w:pPr>
          </w:p>
          <w:p w14:paraId="37AFF038" w14:textId="77777777" w:rsidR="00202522" w:rsidRDefault="00202522" w:rsidP="00202522">
            <w:pPr>
              <w:ind w:left="39"/>
              <w:jc w:val="both"/>
              <w:rPr>
                <w:rFonts w:asciiTheme="minorHAnsi" w:hAnsiTheme="minorHAnsi" w:cstheme="minorHAnsi"/>
                <w:sz w:val="20"/>
                <w:szCs w:val="20"/>
              </w:rPr>
            </w:pPr>
            <w:r>
              <w:rPr>
                <w:rFonts w:asciiTheme="minorHAnsi" w:hAnsiTheme="minorHAnsi" w:cstheme="minorHAnsi"/>
                <w:sz w:val="20"/>
                <w:szCs w:val="20"/>
              </w:rPr>
              <w:t>Nastavno na primjedbe A1 v</w:t>
            </w:r>
            <w:r w:rsidRPr="00D374AD">
              <w:rPr>
                <w:rFonts w:asciiTheme="minorHAnsi" w:hAnsiTheme="minorHAnsi" w:cstheme="minorHAnsi"/>
                <w:sz w:val="20"/>
                <w:szCs w:val="20"/>
              </w:rPr>
              <w:t>ezano za potražnju koja se odnosi na visokokvalitetni pristup</w:t>
            </w:r>
            <w:r>
              <w:rPr>
                <w:rFonts w:asciiTheme="minorHAnsi" w:hAnsiTheme="minorHAnsi" w:cstheme="minorHAnsi"/>
                <w:sz w:val="20"/>
                <w:szCs w:val="20"/>
              </w:rPr>
              <w:t>,</w:t>
            </w:r>
            <w:r w:rsidRPr="00202522">
              <w:rPr>
                <w:rFonts w:asciiTheme="minorHAnsi" w:hAnsiTheme="minorHAnsi" w:cstheme="minorHAnsi"/>
                <w:sz w:val="20"/>
                <w:szCs w:val="20"/>
              </w:rPr>
              <w:t xml:space="preserve"> HAKOM je utvrdio da je primjedba A1 opravdana. Naime, s obzirom da je potražnja za razdoblje od 2020</w:t>
            </w:r>
            <w:r>
              <w:rPr>
                <w:rFonts w:asciiTheme="minorHAnsi" w:hAnsiTheme="minorHAnsi" w:cstheme="minorHAnsi"/>
                <w:sz w:val="20"/>
                <w:szCs w:val="20"/>
              </w:rPr>
              <w:t>.</w:t>
            </w:r>
            <w:r w:rsidRPr="00202522">
              <w:rPr>
                <w:rFonts w:asciiTheme="minorHAnsi" w:hAnsiTheme="minorHAnsi" w:cstheme="minorHAnsi"/>
                <w:sz w:val="20"/>
                <w:szCs w:val="20"/>
              </w:rPr>
              <w:t xml:space="preserve"> nadalje značajno narasla, kako u kapacitetima, tako i u broju linija, HAKOM je radi konzistentnosti razmjerno uskladio potražnju za kapacitetima i u razdoblju prije 2020. Međutim, omaškom to nije bilo napravljeno za linije/priključne točke te je u novoj verziji modela potražnja usklađena i </w:t>
            </w:r>
            <w:r>
              <w:rPr>
                <w:rFonts w:asciiTheme="minorHAnsi" w:hAnsiTheme="minorHAnsi" w:cstheme="minorHAnsi"/>
                <w:sz w:val="20"/>
                <w:szCs w:val="20"/>
              </w:rPr>
              <w:t>za</w:t>
            </w:r>
            <w:r w:rsidRPr="00202522">
              <w:rPr>
                <w:rFonts w:asciiTheme="minorHAnsi" w:hAnsiTheme="minorHAnsi" w:cstheme="minorHAnsi"/>
                <w:sz w:val="20"/>
                <w:szCs w:val="20"/>
              </w:rPr>
              <w:t xml:space="preserve"> linij</w:t>
            </w:r>
            <w:r>
              <w:rPr>
                <w:rFonts w:asciiTheme="minorHAnsi" w:hAnsiTheme="minorHAnsi" w:cstheme="minorHAnsi"/>
                <w:sz w:val="20"/>
                <w:szCs w:val="20"/>
              </w:rPr>
              <w:t xml:space="preserve">e, kako </w:t>
            </w:r>
            <w:r w:rsidRPr="00202522">
              <w:rPr>
                <w:rFonts w:asciiTheme="minorHAnsi" w:hAnsiTheme="minorHAnsi" w:cstheme="minorHAnsi"/>
                <w:sz w:val="20"/>
                <w:szCs w:val="20"/>
              </w:rPr>
              <w:t>na maloprodajnoj razini</w:t>
            </w:r>
            <w:r>
              <w:rPr>
                <w:rFonts w:asciiTheme="minorHAnsi" w:hAnsiTheme="minorHAnsi" w:cstheme="minorHAnsi"/>
                <w:sz w:val="20"/>
                <w:szCs w:val="20"/>
              </w:rPr>
              <w:t>, tako</w:t>
            </w:r>
            <w:r w:rsidRPr="00202522">
              <w:rPr>
                <w:rFonts w:asciiTheme="minorHAnsi" w:hAnsiTheme="minorHAnsi" w:cstheme="minorHAnsi"/>
                <w:sz w:val="20"/>
                <w:szCs w:val="20"/>
              </w:rPr>
              <w:t xml:space="preserve"> i </w:t>
            </w:r>
            <w:r>
              <w:rPr>
                <w:rFonts w:asciiTheme="minorHAnsi" w:hAnsiTheme="minorHAnsi" w:cstheme="minorHAnsi"/>
                <w:sz w:val="20"/>
                <w:szCs w:val="20"/>
              </w:rPr>
              <w:t xml:space="preserve">na </w:t>
            </w:r>
            <w:r w:rsidRPr="00202522">
              <w:rPr>
                <w:rFonts w:asciiTheme="minorHAnsi" w:hAnsiTheme="minorHAnsi" w:cstheme="minorHAnsi"/>
                <w:sz w:val="20"/>
                <w:szCs w:val="20"/>
              </w:rPr>
              <w:t>veleprodajnoj razini.</w:t>
            </w:r>
          </w:p>
          <w:p w14:paraId="33E6130F" w14:textId="77777777" w:rsidR="00A0296D" w:rsidRDefault="00A0296D" w:rsidP="00202522">
            <w:pPr>
              <w:ind w:left="39"/>
              <w:jc w:val="both"/>
              <w:rPr>
                <w:rFonts w:asciiTheme="minorHAnsi" w:hAnsiTheme="minorHAnsi" w:cstheme="minorHAnsi"/>
                <w:sz w:val="20"/>
                <w:szCs w:val="20"/>
              </w:rPr>
            </w:pPr>
          </w:p>
          <w:p w14:paraId="43B18183" w14:textId="07A2BD58" w:rsidR="00A0296D" w:rsidRDefault="00A0296D" w:rsidP="00202522">
            <w:pPr>
              <w:ind w:left="39"/>
              <w:jc w:val="both"/>
              <w:rPr>
                <w:rFonts w:asciiTheme="minorHAnsi" w:hAnsiTheme="minorHAnsi" w:cstheme="minorHAnsi"/>
                <w:sz w:val="20"/>
                <w:szCs w:val="20"/>
              </w:rPr>
            </w:pPr>
            <w:r w:rsidRPr="00A0296D">
              <w:rPr>
                <w:rFonts w:asciiTheme="minorHAnsi" w:hAnsiTheme="minorHAnsi" w:cstheme="minorHAnsi"/>
                <w:sz w:val="20"/>
                <w:szCs w:val="20"/>
              </w:rPr>
              <w:t>Problem s nedovoljno dobrom procjenom potražnje za razdoblja ranija od 2020</w:t>
            </w:r>
            <w:r>
              <w:rPr>
                <w:rFonts w:asciiTheme="minorHAnsi" w:hAnsiTheme="minorHAnsi" w:cstheme="minorHAnsi"/>
                <w:sz w:val="20"/>
                <w:szCs w:val="20"/>
              </w:rPr>
              <w:t>.</w:t>
            </w:r>
            <w:r w:rsidRPr="00A0296D">
              <w:rPr>
                <w:rFonts w:asciiTheme="minorHAnsi" w:hAnsiTheme="minorHAnsi" w:cstheme="minorHAnsi"/>
                <w:sz w:val="20"/>
                <w:szCs w:val="20"/>
              </w:rPr>
              <w:t xml:space="preserve"> nisu posljedica neuvrštavanja određenog tipa vodova, odnosno usluga visokokvalitetnog pristupa</w:t>
            </w:r>
            <w:r w:rsidR="009B650C">
              <w:rPr>
                <w:rFonts w:asciiTheme="minorHAnsi" w:hAnsiTheme="minorHAnsi" w:cstheme="minorHAnsi"/>
                <w:sz w:val="20"/>
                <w:szCs w:val="20"/>
              </w:rPr>
              <w:t xml:space="preserve"> (vodovi za povezivanje baznih postaja, međunarodni vodovi i slično)</w:t>
            </w:r>
            <w:r w:rsidRPr="00A0296D">
              <w:rPr>
                <w:rFonts w:asciiTheme="minorHAnsi" w:hAnsiTheme="minorHAnsi" w:cstheme="minorHAnsi"/>
                <w:sz w:val="20"/>
                <w:szCs w:val="20"/>
              </w:rPr>
              <w:t xml:space="preserve"> nego općenito nedovoljno dobrih podataka koji su u to vrijeme prikupljani i na temelju kojih je rađena analiza tržišta visokokvalitetnog pristupa. U međuvremenu je HAKOM revizijom upitnika za usluge visokokvalitetnog pristupa dobio kvalitetnije podatke, kako HT-a tako i ostalih operatora te je stoga mogao kvalitetnije procijeniti potražnju za uslugama visokokvalitetnog pristupa kao ulazni podatak u troškovni model. Osim nedovoljne kvalitete ulaznih podataka</w:t>
            </w:r>
            <w:r>
              <w:rPr>
                <w:rFonts w:asciiTheme="minorHAnsi" w:hAnsiTheme="minorHAnsi" w:cstheme="minorHAnsi"/>
                <w:sz w:val="20"/>
                <w:szCs w:val="20"/>
              </w:rPr>
              <w:t>,</w:t>
            </w:r>
            <w:r w:rsidRPr="00A0296D">
              <w:rPr>
                <w:rFonts w:asciiTheme="minorHAnsi" w:hAnsiTheme="minorHAnsi" w:cstheme="minorHAnsi"/>
                <w:sz w:val="20"/>
                <w:szCs w:val="20"/>
              </w:rPr>
              <w:t xml:space="preserve"> zbog čega se možda određeni dio potražnje neopravdano izostavio iz modela, dodatni razlog za veću potražnju za uslugama povezivanja baznih postaja proizlazi i zbog osiguravanja kapaciteta za </w:t>
            </w:r>
            <w:proofErr w:type="spellStart"/>
            <w:r w:rsidRPr="00A0296D">
              <w:rPr>
                <w:rFonts w:asciiTheme="minorHAnsi" w:hAnsiTheme="minorHAnsi" w:cstheme="minorHAnsi"/>
                <w:sz w:val="20"/>
                <w:szCs w:val="20"/>
              </w:rPr>
              <w:t>novoizigrađenu</w:t>
            </w:r>
            <w:proofErr w:type="spellEnd"/>
            <w:r w:rsidRPr="00A0296D">
              <w:rPr>
                <w:rFonts w:asciiTheme="minorHAnsi" w:hAnsiTheme="minorHAnsi" w:cstheme="minorHAnsi"/>
                <w:sz w:val="20"/>
                <w:szCs w:val="20"/>
              </w:rPr>
              <w:t xml:space="preserve"> 5G mrežu HT-a.</w:t>
            </w:r>
          </w:p>
          <w:p w14:paraId="10E97F35" w14:textId="77777777" w:rsidR="00A0296D" w:rsidRDefault="00A0296D" w:rsidP="00202522">
            <w:pPr>
              <w:ind w:left="39"/>
              <w:jc w:val="both"/>
              <w:rPr>
                <w:rFonts w:asciiTheme="minorHAnsi" w:hAnsiTheme="minorHAnsi" w:cstheme="minorHAnsi"/>
                <w:sz w:val="20"/>
                <w:szCs w:val="20"/>
              </w:rPr>
            </w:pPr>
          </w:p>
          <w:p w14:paraId="454180B5" w14:textId="77777777" w:rsidR="00A0296D" w:rsidRDefault="00A0296D" w:rsidP="00A0296D">
            <w:pPr>
              <w:ind w:left="39"/>
              <w:jc w:val="both"/>
              <w:rPr>
                <w:rFonts w:asciiTheme="minorHAnsi" w:hAnsiTheme="minorHAnsi" w:cstheme="minorHAnsi"/>
                <w:sz w:val="20"/>
                <w:szCs w:val="20"/>
              </w:rPr>
            </w:pPr>
            <w:r>
              <w:rPr>
                <w:rFonts w:asciiTheme="minorHAnsi" w:hAnsiTheme="minorHAnsi" w:cstheme="minorHAnsi"/>
                <w:sz w:val="20"/>
                <w:szCs w:val="20"/>
              </w:rPr>
              <w:t xml:space="preserve">Nastavno na navode A1 vezano uz nedosljednosti koje se odnose na pokrivanje, </w:t>
            </w:r>
            <w:r w:rsidRPr="00A0296D">
              <w:rPr>
                <w:rFonts w:asciiTheme="minorHAnsi" w:hAnsiTheme="minorHAnsi" w:cstheme="minorHAnsi"/>
                <w:sz w:val="20"/>
                <w:szCs w:val="20"/>
              </w:rPr>
              <w:t>HAKOM ističe da je u model uvršten</w:t>
            </w:r>
            <w:r>
              <w:rPr>
                <w:rFonts w:asciiTheme="minorHAnsi" w:hAnsiTheme="minorHAnsi" w:cstheme="minorHAnsi"/>
                <w:sz w:val="20"/>
                <w:szCs w:val="20"/>
              </w:rPr>
              <w:t>o</w:t>
            </w:r>
            <w:r w:rsidRPr="00A0296D">
              <w:rPr>
                <w:rFonts w:asciiTheme="minorHAnsi" w:hAnsiTheme="minorHAnsi" w:cstheme="minorHAnsi"/>
                <w:sz w:val="20"/>
                <w:szCs w:val="20"/>
              </w:rPr>
              <w:t xml:space="preserve"> </w:t>
            </w:r>
            <w:r>
              <w:rPr>
                <w:rFonts w:asciiTheme="minorHAnsi" w:hAnsiTheme="minorHAnsi" w:cstheme="minorHAnsi"/>
                <w:sz w:val="20"/>
                <w:szCs w:val="20"/>
              </w:rPr>
              <w:lastRenderedPageBreak/>
              <w:t>pokrivanje</w:t>
            </w:r>
            <w:r w:rsidRPr="00A0296D">
              <w:rPr>
                <w:rFonts w:asciiTheme="minorHAnsi" w:hAnsiTheme="minorHAnsi" w:cstheme="minorHAnsi"/>
                <w:sz w:val="20"/>
                <w:szCs w:val="20"/>
              </w:rPr>
              <w:t xml:space="preserve"> sukladno podacima HT-a za povijesna razdoblja, odnosno sukladno podacima o planovima pokrivanja HT-a za buduća razdoblja. HAKOM je povijesne podatke provjerio i usporedio s podacima koje HAKOM prikuplja u postupku </w:t>
            </w:r>
            <w:proofErr w:type="spellStart"/>
            <w:r w:rsidRPr="00A0296D">
              <w:rPr>
                <w:rFonts w:asciiTheme="minorHAnsi" w:hAnsiTheme="minorHAnsi" w:cstheme="minorHAnsi"/>
                <w:sz w:val="20"/>
                <w:szCs w:val="20"/>
              </w:rPr>
              <w:t>mapiranja</w:t>
            </w:r>
            <w:proofErr w:type="spellEnd"/>
            <w:r w:rsidRPr="00A0296D">
              <w:rPr>
                <w:rFonts w:asciiTheme="minorHAnsi" w:hAnsiTheme="minorHAnsi" w:cstheme="minorHAnsi"/>
                <w:sz w:val="20"/>
                <w:szCs w:val="20"/>
              </w:rPr>
              <w:t xml:space="preserve"> te se može potvrditi da se podaci poklapaju.</w:t>
            </w:r>
            <w:r>
              <w:rPr>
                <w:rFonts w:asciiTheme="minorHAnsi" w:hAnsiTheme="minorHAnsi" w:cstheme="minorHAnsi"/>
                <w:sz w:val="20"/>
                <w:szCs w:val="20"/>
              </w:rPr>
              <w:t xml:space="preserve"> </w:t>
            </w:r>
          </w:p>
          <w:p w14:paraId="3F7EEA51" w14:textId="77777777" w:rsidR="005C2165" w:rsidRDefault="005C2165" w:rsidP="00A0296D">
            <w:pPr>
              <w:ind w:left="39"/>
              <w:jc w:val="both"/>
              <w:rPr>
                <w:rFonts w:asciiTheme="minorHAnsi" w:hAnsiTheme="minorHAnsi" w:cstheme="minorHAnsi"/>
                <w:sz w:val="20"/>
                <w:szCs w:val="20"/>
              </w:rPr>
            </w:pPr>
          </w:p>
          <w:p w14:paraId="14436166" w14:textId="77777777" w:rsidR="005C2165" w:rsidRDefault="005C2165" w:rsidP="00A0296D">
            <w:pPr>
              <w:ind w:left="39"/>
              <w:jc w:val="both"/>
              <w:rPr>
                <w:rFonts w:asciiTheme="minorHAnsi" w:hAnsiTheme="minorHAnsi" w:cstheme="minorHAnsi"/>
                <w:sz w:val="20"/>
                <w:szCs w:val="20"/>
              </w:rPr>
            </w:pPr>
          </w:p>
          <w:p w14:paraId="20B8A9C3" w14:textId="77777777" w:rsidR="005C2165" w:rsidRDefault="005C2165" w:rsidP="00A0296D">
            <w:pPr>
              <w:ind w:left="39"/>
              <w:jc w:val="both"/>
              <w:rPr>
                <w:rFonts w:asciiTheme="minorHAnsi" w:hAnsiTheme="minorHAnsi" w:cstheme="minorHAnsi"/>
                <w:sz w:val="20"/>
                <w:szCs w:val="20"/>
              </w:rPr>
            </w:pPr>
          </w:p>
          <w:p w14:paraId="4FE38644" w14:textId="77777777" w:rsidR="005C2165" w:rsidRDefault="005C2165" w:rsidP="00A0296D">
            <w:pPr>
              <w:ind w:left="39"/>
              <w:jc w:val="both"/>
              <w:rPr>
                <w:rFonts w:asciiTheme="minorHAnsi" w:hAnsiTheme="minorHAnsi" w:cstheme="minorHAnsi"/>
                <w:sz w:val="20"/>
                <w:szCs w:val="20"/>
              </w:rPr>
            </w:pPr>
          </w:p>
          <w:p w14:paraId="6D8B1A73" w14:textId="77777777" w:rsidR="005C2165" w:rsidRDefault="005C2165" w:rsidP="00A0296D">
            <w:pPr>
              <w:ind w:left="39"/>
              <w:jc w:val="both"/>
              <w:rPr>
                <w:rFonts w:asciiTheme="minorHAnsi" w:hAnsiTheme="minorHAnsi" w:cstheme="minorHAnsi"/>
                <w:sz w:val="20"/>
                <w:szCs w:val="20"/>
              </w:rPr>
            </w:pPr>
          </w:p>
          <w:p w14:paraId="2B74E6C9" w14:textId="77777777" w:rsidR="005C2165" w:rsidRDefault="005C2165" w:rsidP="00A0296D">
            <w:pPr>
              <w:ind w:left="39"/>
              <w:jc w:val="both"/>
              <w:rPr>
                <w:rFonts w:asciiTheme="minorHAnsi" w:hAnsiTheme="minorHAnsi" w:cstheme="minorHAnsi"/>
                <w:sz w:val="20"/>
                <w:szCs w:val="20"/>
              </w:rPr>
            </w:pPr>
          </w:p>
          <w:p w14:paraId="2BE7BC20" w14:textId="77777777" w:rsidR="005C2165" w:rsidRDefault="005C2165" w:rsidP="00A0296D">
            <w:pPr>
              <w:ind w:left="39"/>
              <w:jc w:val="both"/>
              <w:rPr>
                <w:rFonts w:asciiTheme="minorHAnsi" w:hAnsiTheme="minorHAnsi" w:cstheme="minorHAnsi"/>
                <w:sz w:val="20"/>
                <w:szCs w:val="20"/>
              </w:rPr>
            </w:pPr>
          </w:p>
          <w:p w14:paraId="51975177" w14:textId="77777777" w:rsidR="005C2165" w:rsidRDefault="005C2165" w:rsidP="00A0296D">
            <w:pPr>
              <w:ind w:left="39"/>
              <w:jc w:val="both"/>
              <w:rPr>
                <w:rFonts w:asciiTheme="minorHAnsi" w:hAnsiTheme="minorHAnsi" w:cstheme="minorHAnsi"/>
                <w:sz w:val="20"/>
                <w:szCs w:val="20"/>
              </w:rPr>
            </w:pPr>
          </w:p>
          <w:p w14:paraId="384631D2" w14:textId="7EBAD30D" w:rsidR="005C2165" w:rsidRPr="006843E1" w:rsidRDefault="005C2165">
            <w:pPr>
              <w:ind w:left="39"/>
              <w:jc w:val="both"/>
              <w:rPr>
                <w:rFonts w:asciiTheme="minorHAnsi" w:hAnsiTheme="minorHAnsi" w:cstheme="minorHAnsi"/>
                <w:sz w:val="20"/>
                <w:szCs w:val="20"/>
              </w:rPr>
            </w:pPr>
            <w:r w:rsidRPr="005C2165">
              <w:rPr>
                <w:rFonts w:asciiTheme="minorHAnsi" w:hAnsiTheme="minorHAnsi" w:cstheme="minorHAnsi"/>
                <w:sz w:val="20"/>
                <w:szCs w:val="20"/>
              </w:rPr>
              <w:t xml:space="preserve">HAKOM je u model unio podatke o pokrivenosti sukladno podacima koje je zaprimio od HT-a. Prema </w:t>
            </w:r>
            <w:r>
              <w:rPr>
                <w:rFonts w:asciiTheme="minorHAnsi" w:hAnsiTheme="minorHAnsi" w:cstheme="minorHAnsi"/>
                <w:sz w:val="20"/>
                <w:szCs w:val="20"/>
              </w:rPr>
              <w:t>po</w:t>
            </w:r>
            <w:r w:rsidRPr="005C2165">
              <w:rPr>
                <w:rFonts w:asciiTheme="minorHAnsi" w:hAnsiTheme="minorHAnsi" w:cstheme="minorHAnsi"/>
                <w:sz w:val="20"/>
                <w:szCs w:val="20"/>
              </w:rPr>
              <w:t>jašnjenjima HT-a, HT intenzivno ažurira svoje baze podataka s podacima o adresama i broju kućanstava na adresi te je rezultat takvih usklađivanja veći broj kućanstava koje HT ima u svojim bazama podataka što je dovelo do povećanja pokrivenosti.</w:t>
            </w:r>
            <w:r w:rsidR="00A317CD">
              <w:rPr>
                <w:rFonts w:asciiTheme="minorHAnsi" w:hAnsiTheme="minorHAnsi" w:cstheme="minorHAnsi"/>
                <w:sz w:val="20"/>
                <w:szCs w:val="20"/>
              </w:rPr>
              <w:t xml:space="preserve"> Algoritmi implementirani u modelu kojima se modeliraju resursi u mreži i njihovi troškovi nisu mijenjani prilikom ovoga ažuriranja. Stoga povećanje pokrivenosti koje je ulazni podatak može imati utjecaj na povećanje duljine bakrenih kabela. Što se tiče duljine svjetlovodnih kabela, iako je ukupna duljina manja od duljine bakrenih kabela</w:t>
            </w:r>
            <w:r w:rsidR="007A0739">
              <w:rPr>
                <w:rFonts w:asciiTheme="minorHAnsi" w:hAnsiTheme="minorHAnsi" w:cstheme="minorHAnsi"/>
                <w:sz w:val="20"/>
                <w:szCs w:val="20"/>
              </w:rPr>
              <w:t xml:space="preserve">, i </w:t>
            </w:r>
            <w:proofErr w:type="spellStart"/>
            <w:r w:rsidR="007A0739">
              <w:rPr>
                <w:rFonts w:asciiTheme="minorHAnsi" w:hAnsiTheme="minorHAnsi" w:cstheme="minorHAnsi"/>
                <w:sz w:val="20"/>
                <w:szCs w:val="20"/>
              </w:rPr>
              <w:t>nihova</w:t>
            </w:r>
            <w:proofErr w:type="spellEnd"/>
            <w:r w:rsidR="007A0739">
              <w:rPr>
                <w:rFonts w:asciiTheme="minorHAnsi" w:hAnsiTheme="minorHAnsi" w:cstheme="minorHAnsi"/>
                <w:sz w:val="20"/>
                <w:szCs w:val="20"/>
              </w:rPr>
              <w:t xml:space="preserve"> se ukupna duljina u modelu povećava s porastom pokrivanja svjetlovodnom mrežom što je ulazni podatak u troškovni model. Međutim, HAKOM smatra potrebnim istaknuti da se svjetlovodne mreže najviše grade u urbanim područjima gdje su onda potrebne duljine kabela manje nego u ruralnim područjima. Isto tako, zbog različitosti tehnologija, potrebne duljine kabela u bakrenoj i svjetlovodnoj mreži nisu izravno usporedive, primjerice jer u </w:t>
            </w:r>
            <w:proofErr w:type="spellStart"/>
            <w:r w:rsidR="007A0739">
              <w:rPr>
                <w:rFonts w:asciiTheme="minorHAnsi" w:hAnsiTheme="minorHAnsi" w:cstheme="minorHAnsi"/>
                <w:sz w:val="20"/>
                <w:szCs w:val="20"/>
              </w:rPr>
              <w:t>PtMP</w:t>
            </w:r>
            <w:proofErr w:type="spellEnd"/>
            <w:r w:rsidR="007A0739">
              <w:rPr>
                <w:rFonts w:asciiTheme="minorHAnsi" w:hAnsiTheme="minorHAnsi" w:cstheme="minorHAnsi"/>
                <w:sz w:val="20"/>
                <w:szCs w:val="20"/>
              </w:rPr>
              <w:t xml:space="preserve"> (</w:t>
            </w:r>
            <w:proofErr w:type="spellStart"/>
            <w:r w:rsidR="007A0739">
              <w:rPr>
                <w:rFonts w:asciiTheme="minorHAnsi" w:hAnsiTheme="minorHAnsi" w:cstheme="minorHAnsi"/>
                <w:sz w:val="20"/>
                <w:szCs w:val="20"/>
              </w:rPr>
              <w:t>point</w:t>
            </w:r>
            <w:proofErr w:type="spellEnd"/>
            <w:r w:rsidR="007A0739">
              <w:rPr>
                <w:rFonts w:asciiTheme="minorHAnsi" w:hAnsiTheme="minorHAnsi" w:cstheme="minorHAnsi"/>
                <w:sz w:val="20"/>
                <w:szCs w:val="20"/>
              </w:rPr>
              <w:t>-to-</w:t>
            </w:r>
            <w:proofErr w:type="spellStart"/>
            <w:r w:rsidR="007A0739">
              <w:rPr>
                <w:rFonts w:asciiTheme="minorHAnsi" w:hAnsiTheme="minorHAnsi" w:cstheme="minorHAnsi"/>
                <w:sz w:val="20"/>
                <w:szCs w:val="20"/>
              </w:rPr>
              <w:t>multipoint</w:t>
            </w:r>
            <w:proofErr w:type="spellEnd"/>
            <w:r w:rsidR="007A0739">
              <w:rPr>
                <w:rFonts w:asciiTheme="minorHAnsi" w:hAnsiTheme="minorHAnsi" w:cstheme="minorHAnsi"/>
                <w:sz w:val="20"/>
                <w:szCs w:val="20"/>
              </w:rPr>
              <w:t>) načinu gradnje svjetlovodne mreže potrebno je manje svjetlovodnih niti, a posljedično i kabela u spojenom dijelu mreže do distribucijskog čvora, što onda utječe na manju ukupnu duljinu svjetlovodnih kabela u odnosu na potrebnu duljinu kabela bakrene mreže u istom području.</w:t>
            </w:r>
          </w:p>
        </w:tc>
      </w:tr>
      <w:tr w:rsidR="00132EA6" w:rsidRPr="00D374AD" w14:paraId="62D4E676"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81024B5" w14:textId="1897692A" w:rsidR="00132EA6" w:rsidRPr="00D374AD" w:rsidRDefault="00132EA6" w:rsidP="00132EA6">
            <w:pPr>
              <w:rPr>
                <w:rFonts w:asciiTheme="minorHAnsi" w:hAnsiTheme="minorHAnsi" w:cstheme="minorHAnsi"/>
                <w:sz w:val="20"/>
                <w:szCs w:val="20"/>
              </w:rPr>
            </w:pPr>
            <w:r w:rsidRPr="00D374AD">
              <w:rPr>
                <w:rFonts w:asciiTheme="minorHAnsi" w:hAnsiTheme="minorHAnsi" w:cstheme="minorHAnsi"/>
                <w:sz w:val="20"/>
                <w:szCs w:val="20"/>
              </w:rPr>
              <w:lastRenderedPageBreak/>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E5CF876" w14:textId="709AD147" w:rsidR="00132EA6" w:rsidRPr="00D374AD" w:rsidRDefault="00132EA6" w:rsidP="00132EA6">
            <w:pPr>
              <w:rPr>
                <w:rFonts w:asciiTheme="minorHAnsi" w:hAnsiTheme="minorHAnsi" w:cstheme="minorHAnsi"/>
                <w:sz w:val="20"/>
                <w:szCs w:val="20"/>
              </w:rPr>
            </w:pPr>
            <w:proofErr w:type="spellStart"/>
            <w:r w:rsidRPr="00D374AD">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4C999DB" w14:textId="282B08B6" w:rsidR="00132EA6" w:rsidRDefault="00132EA6" w:rsidP="00132EA6">
            <w:pPr>
              <w:pStyle w:val="ListParagraph"/>
              <w:numPr>
                <w:ilvl w:val="0"/>
                <w:numId w:val="11"/>
              </w:numPr>
              <w:spacing w:after="160" w:line="259" w:lineRule="auto"/>
              <w:ind w:left="-110"/>
              <w:jc w:val="both"/>
              <w:rPr>
                <w:rFonts w:asciiTheme="minorHAnsi" w:hAnsiTheme="minorHAnsi" w:cstheme="minorHAnsi"/>
                <w:sz w:val="20"/>
                <w:szCs w:val="20"/>
              </w:rPr>
            </w:pPr>
            <w:r w:rsidRPr="00D374AD">
              <w:rPr>
                <w:rFonts w:asciiTheme="minorHAnsi" w:hAnsiTheme="minorHAnsi" w:cstheme="minorHAnsi"/>
                <w:sz w:val="20"/>
                <w:szCs w:val="20"/>
              </w:rPr>
              <w:t xml:space="preserve">Glede definiranja ulaznog podatka potražnje, </w:t>
            </w:r>
            <w:proofErr w:type="spellStart"/>
            <w:r w:rsidRPr="00D374AD">
              <w:rPr>
                <w:rFonts w:asciiTheme="minorHAnsi" w:hAnsiTheme="minorHAnsi" w:cstheme="minorHAnsi"/>
                <w:sz w:val="20"/>
                <w:szCs w:val="20"/>
              </w:rPr>
              <w:t>Telemach</w:t>
            </w:r>
            <w:proofErr w:type="spellEnd"/>
            <w:r w:rsidRPr="00D374AD">
              <w:rPr>
                <w:rFonts w:asciiTheme="minorHAnsi" w:hAnsiTheme="minorHAnsi" w:cstheme="minorHAnsi"/>
                <w:sz w:val="20"/>
                <w:szCs w:val="20"/>
              </w:rPr>
              <w:t xml:space="preserve"> smatra da isti, kako je pretpostavljen u dokumentu „Ažuriranje </w:t>
            </w:r>
            <w:proofErr w:type="spellStart"/>
            <w:r w:rsidRPr="00D374AD">
              <w:rPr>
                <w:rFonts w:asciiTheme="minorHAnsi" w:hAnsiTheme="minorHAnsi" w:cstheme="minorHAnsi"/>
                <w:sz w:val="20"/>
                <w:szCs w:val="20"/>
              </w:rPr>
              <w:t>BULRIC</w:t>
            </w:r>
            <w:proofErr w:type="spellEnd"/>
            <w:r w:rsidRPr="00D374AD">
              <w:rPr>
                <w:rFonts w:asciiTheme="minorHAnsi" w:hAnsiTheme="minorHAnsi" w:cstheme="minorHAnsi"/>
                <w:sz w:val="20"/>
                <w:szCs w:val="20"/>
              </w:rPr>
              <w:t>+ troškovnog modela“, ide izravno na štetu operatora korisnika. Naime, navedeno je da se pr</w:t>
            </w:r>
            <w:r w:rsidR="00823BEB" w:rsidRPr="00D374AD">
              <w:rPr>
                <w:rFonts w:asciiTheme="minorHAnsi" w:hAnsiTheme="minorHAnsi" w:cstheme="minorHAnsi"/>
                <w:sz w:val="20"/>
                <w:szCs w:val="20"/>
              </w:rPr>
              <w:t>etpostavlja da će u 2027.</w:t>
            </w:r>
            <w:r w:rsidRPr="00D374AD">
              <w:rPr>
                <w:rFonts w:asciiTheme="minorHAnsi" w:hAnsiTheme="minorHAnsi" w:cstheme="minorHAnsi"/>
                <w:sz w:val="20"/>
                <w:szCs w:val="20"/>
              </w:rPr>
              <w:t xml:space="preserve"> take </w:t>
            </w:r>
            <w:proofErr w:type="spellStart"/>
            <w:r w:rsidRPr="00D374AD">
              <w:rPr>
                <w:rFonts w:asciiTheme="minorHAnsi" w:hAnsiTheme="minorHAnsi" w:cstheme="minorHAnsi"/>
                <w:sz w:val="20"/>
                <w:szCs w:val="20"/>
              </w:rPr>
              <w:t>up</w:t>
            </w:r>
            <w:proofErr w:type="spellEnd"/>
            <w:r w:rsidRPr="00D374AD">
              <w:rPr>
                <w:rFonts w:asciiTheme="minorHAnsi" w:hAnsiTheme="minorHAnsi" w:cstheme="minorHAnsi"/>
                <w:sz w:val="20"/>
                <w:szCs w:val="20"/>
              </w:rPr>
              <w:t xml:space="preserve"> za usluge na svjetlovodnoj pristupnoj mreži biti 60% na područjima gdje HT gradi mrežu pomoću državnih potpora, a svim ostalim područjima 45%. </w:t>
            </w:r>
            <w:proofErr w:type="spellStart"/>
            <w:r w:rsidRPr="00D374AD">
              <w:rPr>
                <w:rFonts w:asciiTheme="minorHAnsi" w:hAnsiTheme="minorHAnsi" w:cstheme="minorHAnsi"/>
                <w:sz w:val="20"/>
                <w:szCs w:val="20"/>
              </w:rPr>
              <w:t>Telemach</w:t>
            </w:r>
            <w:proofErr w:type="spellEnd"/>
            <w:r w:rsidRPr="00D374AD">
              <w:rPr>
                <w:rFonts w:asciiTheme="minorHAnsi" w:hAnsiTheme="minorHAnsi" w:cstheme="minorHAnsi"/>
                <w:sz w:val="20"/>
                <w:szCs w:val="20"/>
              </w:rPr>
              <w:t xml:space="preserve"> smatra da su ovi postotci postavljeni značajno prenisko. Naime, prvenstveno, obzirom na sve aktivnosti i ciljeve na EU razini, ali i na nacionalnoj pa tako i regulatornoj razini, nužno je postaviti ambiciozniji take-</w:t>
            </w:r>
            <w:proofErr w:type="spellStart"/>
            <w:r w:rsidRPr="00D374AD">
              <w:rPr>
                <w:rFonts w:asciiTheme="minorHAnsi" w:hAnsiTheme="minorHAnsi" w:cstheme="minorHAnsi"/>
                <w:sz w:val="20"/>
                <w:szCs w:val="20"/>
              </w:rPr>
              <w:t>up</w:t>
            </w:r>
            <w:proofErr w:type="spellEnd"/>
            <w:r w:rsidRPr="00D374AD">
              <w:rPr>
                <w:rFonts w:asciiTheme="minorHAnsi" w:hAnsiTheme="minorHAnsi" w:cstheme="minorHAnsi"/>
                <w:sz w:val="20"/>
                <w:szCs w:val="20"/>
              </w:rPr>
              <w:t xml:space="preserve">. </w:t>
            </w:r>
          </w:p>
          <w:p w14:paraId="15F9E50B" w14:textId="77777777" w:rsidR="00876905" w:rsidRPr="00D374AD" w:rsidRDefault="00876905" w:rsidP="00132EA6">
            <w:pPr>
              <w:pStyle w:val="ListParagraph"/>
              <w:numPr>
                <w:ilvl w:val="0"/>
                <w:numId w:val="11"/>
              </w:numPr>
              <w:spacing w:after="160" w:line="259" w:lineRule="auto"/>
              <w:ind w:left="-110"/>
              <w:jc w:val="both"/>
              <w:rPr>
                <w:rFonts w:asciiTheme="minorHAnsi" w:hAnsiTheme="minorHAnsi" w:cstheme="minorHAnsi"/>
                <w:sz w:val="20"/>
                <w:szCs w:val="20"/>
              </w:rPr>
            </w:pPr>
          </w:p>
          <w:p w14:paraId="35203D2D" w14:textId="4041273C" w:rsidR="00132EA6" w:rsidRDefault="00132EA6" w:rsidP="00132EA6">
            <w:pPr>
              <w:pStyle w:val="ListParagraph"/>
              <w:numPr>
                <w:ilvl w:val="0"/>
                <w:numId w:val="11"/>
              </w:numPr>
              <w:spacing w:after="160" w:line="259" w:lineRule="auto"/>
              <w:ind w:left="-110"/>
              <w:jc w:val="both"/>
              <w:rPr>
                <w:rFonts w:asciiTheme="minorHAnsi" w:hAnsiTheme="minorHAnsi" w:cstheme="minorHAnsi"/>
                <w:sz w:val="20"/>
                <w:szCs w:val="20"/>
              </w:rPr>
            </w:pPr>
            <w:r w:rsidRPr="00D374AD">
              <w:rPr>
                <w:rFonts w:asciiTheme="minorHAnsi" w:hAnsiTheme="minorHAnsi" w:cstheme="minorHAnsi"/>
                <w:sz w:val="20"/>
                <w:szCs w:val="20"/>
              </w:rPr>
              <w:t>Također, u naredn</w:t>
            </w:r>
            <w:r w:rsidR="00823BEB" w:rsidRPr="00D374AD">
              <w:rPr>
                <w:rFonts w:asciiTheme="minorHAnsi" w:hAnsiTheme="minorHAnsi" w:cstheme="minorHAnsi"/>
                <w:sz w:val="20"/>
                <w:szCs w:val="20"/>
              </w:rPr>
              <w:t xml:space="preserve">om se periodu od 2024. do 2027. </w:t>
            </w:r>
            <w:r w:rsidRPr="00D374AD">
              <w:rPr>
                <w:rFonts w:asciiTheme="minorHAnsi" w:hAnsiTheme="minorHAnsi" w:cstheme="minorHAnsi"/>
                <w:sz w:val="20"/>
                <w:szCs w:val="20"/>
              </w:rPr>
              <w:t xml:space="preserve">očekuje aktivno gašenje bakrene pristupne mreže i zamjena bakrenih priključaka svjetlovodnim te migracija korisnika na svjetlovodnu pristupnu mrežu. Navedeno će značajno povećati broj korisnika na svjetlovodnoj pristupnoj mreži. I sam HAKOM je u objavljenom dokumentu Analize tržišta M1, na stranici 16., naveo „kako će se trend zamjene bakrenih priključaka </w:t>
            </w:r>
            <w:proofErr w:type="spellStart"/>
            <w:r w:rsidRPr="00D374AD">
              <w:rPr>
                <w:rFonts w:asciiTheme="minorHAnsi" w:hAnsiTheme="minorHAnsi" w:cstheme="minorHAnsi"/>
                <w:sz w:val="20"/>
                <w:szCs w:val="20"/>
              </w:rPr>
              <w:t>VHCN</w:t>
            </w:r>
            <w:proofErr w:type="spellEnd"/>
            <w:r w:rsidRPr="00D374AD">
              <w:rPr>
                <w:rFonts w:asciiTheme="minorHAnsi" w:hAnsiTheme="minorHAnsi" w:cstheme="minorHAnsi"/>
                <w:sz w:val="20"/>
                <w:szCs w:val="20"/>
              </w:rPr>
              <w:t xml:space="preserve"> priključcima u narednom periodu ipak ubrzati čemu bi sigurno doprinijelo i postupno gašenje bakrene mreže na područjima koja su u cijelosti pokrivena </w:t>
            </w:r>
            <w:proofErr w:type="spellStart"/>
            <w:r w:rsidRPr="00D374AD">
              <w:rPr>
                <w:rFonts w:asciiTheme="minorHAnsi" w:hAnsiTheme="minorHAnsi" w:cstheme="minorHAnsi"/>
                <w:sz w:val="20"/>
                <w:szCs w:val="20"/>
              </w:rPr>
              <w:t>VHCN</w:t>
            </w:r>
            <w:proofErr w:type="spellEnd"/>
            <w:r w:rsidRPr="00D374AD">
              <w:rPr>
                <w:rFonts w:asciiTheme="minorHAnsi" w:hAnsiTheme="minorHAnsi" w:cstheme="minorHAnsi"/>
                <w:sz w:val="20"/>
                <w:szCs w:val="20"/>
              </w:rPr>
              <w:t xml:space="preserve"> mrežama.“ </w:t>
            </w:r>
          </w:p>
          <w:p w14:paraId="1E8B0290" w14:textId="77777777" w:rsidR="00876905" w:rsidRPr="00D374AD" w:rsidRDefault="00876905" w:rsidP="00132EA6">
            <w:pPr>
              <w:pStyle w:val="ListParagraph"/>
              <w:numPr>
                <w:ilvl w:val="0"/>
                <w:numId w:val="11"/>
              </w:numPr>
              <w:spacing w:after="160" w:line="259" w:lineRule="auto"/>
              <w:ind w:left="-110"/>
              <w:jc w:val="both"/>
              <w:rPr>
                <w:rFonts w:asciiTheme="minorHAnsi" w:hAnsiTheme="minorHAnsi" w:cstheme="minorHAnsi"/>
                <w:sz w:val="20"/>
                <w:szCs w:val="20"/>
              </w:rPr>
            </w:pPr>
          </w:p>
          <w:p w14:paraId="30D7C04A" w14:textId="4CA6415B" w:rsidR="00132EA6" w:rsidRDefault="00132EA6" w:rsidP="00132EA6">
            <w:pPr>
              <w:pStyle w:val="ListParagraph"/>
              <w:ind w:left="-110"/>
              <w:jc w:val="both"/>
              <w:rPr>
                <w:rFonts w:asciiTheme="minorHAnsi" w:hAnsiTheme="minorHAnsi" w:cstheme="minorHAnsi"/>
                <w:sz w:val="20"/>
                <w:szCs w:val="20"/>
              </w:rPr>
            </w:pPr>
            <w:proofErr w:type="spellStart"/>
            <w:r w:rsidRPr="00D374AD">
              <w:rPr>
                <w:rFonts w:asciiTheme="minorHAnsi" w:hAnsiTheme="minorHAnsi" w:cstheme="minorHAnsi"/>
                <w:sz w:val="20"/>
                <w:szCs w:val="20"/>
              </w:rPr>
              <w:t>Telemach</w:t>
            </w:r>
            <w:proofErr w:type="spellEnd"/>
            <w:r w:rsidRPr="00D374AD">
              <w:rPr>
                <w:rFonts w:asciiTheme="minorHAnsi" w:hAnsiTheme="minorHAnsi" w:cstheme="minorHAnsi"/>
                <w:sz w:val="20"/>
                <w:szCs w:val="20"/>
              </w:rPr>
              <w:t xml:space="preserve"> skreće pozornost HAKOM-u kako je HT na maloprodajnoj razini prije gotovo godinu dana započeo postupak migracije korisnika s bakrene na svjetlovodnu infrastrukturu, iako još nisu objavljeni veleprodajni uvjeti na temelju kojih će operatori korisnici migrira</w:t>
            </w:r>
            <w:r w:rsidR="0026730B">
              <w:rPr>
                <w:rFonts w:asciiTheme="minorHAnsi" w:hAnsiTheme="minorHAnsi" w:cstheme="minorHAnsi"/>
                <w:sz w:val="20"/>
                <w:szCs w:val="20"/>
              </w:rPr>
              <w:t>t</w:t>
            </w:r>
            <w:r w:rsidRPr="00D374AD">
              <w:rPr>
                <w:rFonts w:asciiTheme="minorHAnsi" w:hAnsiTheme="minorHAnsi" w:cstheme="minorHAnsi"/>
                <w:sz w:val="20"/>
                <w:szCs w:val="20"/>
              </w:rPr>
              <w:t>i vlastite korisnike na svjetlovodnu pristupnu mrežu. Uvidom u javno objavljeni „Cjenik Max2 i Max3 paketa“, razvidno jest kako je HT još u</w:t>
            </w:r>
            <w:r w:rsidR="00823BEB" w:rsidRPr="00D374AD">
              <w:rPr>
                <w:rFonts w:asciiTheme="minorHAnsi" w:hAnsiTheme="minorHAnsi" w:cstheme="minorHAnsi"/>
                <w:sz w:val="20"/>
                <w:szCs w:val="20"/>
              </w:rPr>
              <w:t xml:space="preserve"> siječnju i veljači 2023.</w:t>
            </w:r>
            <w:r w:rsidRPr="00D374AD">
              <w:rPr>
                <w:rFonts w:asciiTheme="minorHAnsi" w:hAnsiTheme="minorHAnsi" w:cstheme="minorHAnsi"/>
                <w:sz w:val="20"/>
                <w:szCs w:val="20"/>
              </w:rPr>
              <w:t xml:space="preserve"> obustavio pružanje maloprodajnih Max2 i Max3 paketa na bakrenoj tehnologij</w:t>
            </w:r>
            <w:r w:rsidR="0026730B">
              <w:rPr>
                <w:rFonts w:asciiTheme="minorHAnsi" w:hAnsiTheme="minorHAnsi" w:cstheme="minorHAnsi"/>
                <w:sz w:val="20"/>
                <w:szCs w:val="20"/>
              </w:rPr>
              <w:t>i</w:t>
            </w:r>
            <w:r w:rsidRPr="00D374AD">
              <w:rPr>
                <w:rFonts w:asciiTheme="minorHAnsi" w:hAnsiTheme="minorHAnsi" w:cstheme="minorHAnsi"/>
                <w:sz w:val="20"/>
                <w:szCs w:val="20"/>
              </w:rPr>
              <w:t xml:space="preserve"> u Zagrebu i Splitu, na adresama taksativno navedenim u cjeniku. Dodatno, počevš</w:t>
            </w:r>
            <w:r w:rsidR="00823BEB" w:rsidRPr="00D374AD">
              <w:rPr>
                <w:rFonts w:asciiTheme="minorHAnsi" w:hAnsiTheme="minorHAnsi" w:cstheme="minorHAnsi"/>
                <w:sz w:val="20"/>
                <w:szCs w:val="20"/>
              </w:rPr>
              <w:t>i od srpnja 2023.</w:t>
            </w:r>
            <w:r w:rsidRPr="00D374AD">
              <w:rPr>
                <w:rFonts w:asciiTheme="minorHAnsi" w:hAnsiTheme="minorHAnsi" w:cstheme="minorHAnsi"/>
                <w:sz w:val="20"/>
                <w:szCs w:val="20"/>
              </w:rPr>
              <w:t xml:space="preserve"> HT je prestao prodavati navedene MAX pakete za sve nove i postojeće privatne korisnike na bakrenoj i hibridnoj tehnologiji na svim područjima RH na kojima pruža usluge na optičkoj pristupnoj mreži tj. na svim područjima na kojima je dostupna HT-ova optička pristupna mreža te je pokrenuo migraciju korisnika na optiku. Iako takvu migraciju HT nije ponudio i operatorima korisnicama, </w:t>
            </w:r>
            <w:proofErr w:type="spellStart"/>
            <w:r w:rsidRPr="00D374AD">
              <w:rPr>
                <w:rFonts w:asciiTheme="minorHAnsi" w:hAnsiTheme="minorHAnsi" w:cstheme="minorHAnsi"/>
                <w:sz w:val="20"/>
                <w:szCs w:val="20"/>
              </w:rPr>
              <w:t>Telemach</w:t>
            </w:r>
            <w:proofErr w:type="spellEnd"/>
            <w:r w:rsidRPr="00D374AD">
              <w:rPr>
                <w:rFonts w:asciiTheme="minorHAnsi" w:hAnsiTheme="minorHAnsi" w:cstheme="minorHAnsi"/>
                <w:sz w:val="20"/>
                <w:szCs w:val="20"/>
              </w:rPr>
              <w:t xml:space="preserve"> vjeruje da će HAKOM reagirati i osigurati da HT ne diskriminira korisnike drugih operatora na način da svojim korisnicima nudi migraciju pod istim maloprodajnim uvjetima dok takvu mogućnost operatori korisnici nemaju niti mogu iskoristiti. </w:t>
            </w:r>
          </w:p>
          <w:p w14:paraId="4E78B125" w14:textId="77777777" w:rsidR="00876905" w:rsidRPr="00D374AD" w:rsidRDefault="00876905" w:rsidP="00132EA6">
            <w:pPr>
              <w:pStyle w:val="ListParagraph"/>
              <w:ind w:left="-110"/>
              <w:jc w:val="both"/>
              <w:rPr>
                <w:rFonts w:asciiTheme="minorHAnsi" w:hAnsiTheme="minorHAnsi" w:cstheme="minorHAnsi"/>
                <w:sz w:val="20"/>
                <w:szCs w:val="20"/>
              </w:rPr>
            </w:pPr>
          </w:p>
          <w:p w14:paraId="5FF8A1A9" w14:textId="66FEC7C1" w:rsidR="00132EA6" w:rsidRDefault="00132EA6" w:rsidP="00132EA6">
            <w:pPr>
              <w:pStyle w:val="ListParagraph"/>
              <w:ind w:left="-110"/>
              <w:jc w:val="both"/>
              <w:rPr>
                <w:rFonts w:asciiTheme="minorHAnsi" w:hAnsiTheme="minorHAnsi" w:cstheme="minorHAnsi"/>
                <w:sz w:val="20"/>
                <w:szCs w:val="20"/>
              </w:rPr>
            </w:pPr>
            <w:r w:rsidRPr="00D374AD">
              <w:rPr>
                <w:rFonts w:asciiTheme="minorHAnsi" w:hAnsiTheme="minorHAnsi" w:cstheme="minorHAnsi"/>
                <w:sz w:val="20"/>
                <w:szCs w:val="20"/>
              </w:rPr>
              <w:t xml:space="preserve">U vezi s time, </w:t>
            </w:r>
            <w:proofErr w:type="spellStart"/>
            <w:r w:rsidRPr="00D374AD">
              <w:rPr>
                <w:rFonts w:asciiTheme="minorHAnsi" w:hAnsiTheme="minorHAnsi" w:cstheme="minorHAnsi"/>
                <w:sz w:val="20"/>
                <w:szCs w:val="20"/>
              </w:rPr>
              <w:t>Telemach</w:t>
            </w:r>
            <w:proofErr w:type="spellEnd"/>
            <w:r w:rsidRPr="00D374AD">
              <w:rPr>
                <w:rFonts w:asciiTheme="minorHAnsi" w:hAnsiTheme="minorHAnsi" w:cstheme="minorHAnsi"/>
                <w:sz w:val="20"/>
                <w:szCs w:val="20"/>
              </w:rPr>
              <w:t xml:space="preserve"> ističe i kako migracija korisnika na optičku mrežu nužno mora dovesti do toga da se dijelovi bakrene mreže ugase/napuste. Stoga se navedeno kroz smanjenje troškova za bakrenu mrežu mora uzeti u obzir u Troškovnom modelu. U suprotnom, HT-u se dozvoljava da migrira vlastite maloprodajne korisnike na optičku mrežu, dok operatorima korisnicima takvu mogućnost ne nudi pod istim uvjetima, i bakrenu mrežu ne gasi. Time su operatori korisnici višestruko dovedeni u nepovoljan položaj. Prvo, na maloprodajnoj razini na kojoj ne mogu svojim korisnicima ponuditi migraciju pod istim uvjetima pod kojima to HT radi za svoje maloprodajne korisnike. Drugo, jer za takvu bakrenu mrežu koju HT ne gasi, a mogao bi kada bi migraciju izveo planirano i pod pravičnim uvjetima za sve, troškove prebacuje na operatore korisnike koji bakrenu mrežu moraju i dalje koristiti zbog nedostatka jednakih uvjeta za migraciju maloprodajnih korisnika na optiku. </w:t>
            </w:r>
          </w:p>
          <w:p w14:paraId="57421B84" w14:textId="77777777" w:rsidR="00876905" w:rsidRPr="00D374AD" w:rsidRDefault="00876905" w:rsidP="00132EA6">
            <w:pPr>
              <w:pStyle w:val="ListParagraph"/>
              <w:ind w:left="-110"/>
              <w:jc w:val="both"/>
              <w:rPr>
                <w:rFonts w:asciiTheme="minorHAnsi" w:hAnsiTheme="minorHAnsi" w:cstheme="minorHAnsi"/>
                <w:sz w:val="20"/>
                <w:szCs w:val="20"/>
              </w:rPr>
            </w:pPr>
          </w:p>
          <w:p w14:paraId="605EB4DF" w14:textId="77777777" w:rsidR="00132EA6" w:rsidRPr="00D374AD" w:rsidRDefault="00132EA6" w:rsidP="00132EA6">
            <w:pPr>
              <w:pStyle w:val="ListParagraph"/>
              <w:ind w:left="-110"/>
              <w:jc w:val="both"/>
              <w:rPr>
                <w:rFonts w:asciiTheme="minorHAnsi" w:hAnsiTheme="minorHAnsi" w:cstheme="minorHAnsi"/>
                <w:sz w:val="20"/>
                <w:szCs w:val="20"/>
              </w:rPr>
            </w:pPr>
            <w:r w:rsidRPr="00D374AD">
              <w:rPr>
                <w:rFonts w:asciiTheme="minorHAnsi" w:hAnsiTheme="minorHAnsi" w:cstheme="minorHAnsi"/>
                <w:sz w:val="20"/>
                <w:szCs w:val="20"/>
              </w:rPr>
              <w:t xml:space="preserve">Slijedom navedenog, potražnja za uslugama na optici bi u modelu morala biti veća nego što je to HAKOM sada pretpostavio u modelu. Ujedno bi se potražnja za uslugama na optici morala odraziti i na smanjenje troškova bakrene mreže koja bi u određenim svojim dijelovima nužno morala biti stavljena van uporabe u sljedećem trogodišnjem razdoblju. </w:t>
            </w:r>
          </w:p>
          <w:p w14:paraId="2C4DBF1B" w14:textId="77777777" w:rsidR="00132EA6" w:rsidRPr="00D374AD" w:rsidRDefault="00132EA6" w:rsidP="00132EA6">
            <w:pPr>
              <w:pStyle w:val="ListParagraph"/>
              <w:ind w:left="-110"/>
              <w:jc w:val="both"/>
              <w:rPr>
                <w:rFonts w:asciiTheme="minorHAnsi" w:hAnsiTheme="minorHAnsi" w:cstheme="minorHAnsi"/>
                <w:sz w:val="20"/>
                <w:szCs w:val="20"/>
              </w:rPr>
            </w:pPr>
          </w:p>
          <w:p w14:paraId="04DE8791" w14:textId="77777777" w:rsidR="00876905" w:rsidRDefault="00132EA6" w:rsidP="00876905">
            <w:pPr>
              <w:spacing w:after="160" w:line="259" w:lineRule="auto"/>
              <w:ind w:left="-110"/>
              <w:jc w:val="both"/>
              <w:rPr>
                <w:rFonts w:asciiTheme="minorHAnsi" w:hAnsiTheme="minorHAnsi" w:cstheme="minorHAnsi"/>
                <w:sz w:val="20"/>
                <w:szCs w:val="20"/>
              </w:rPr>
            </w:pPr>
            <w:r w:rsidRPr="00D374AD">
              <w:rPr>
                <w:rFonts w:asciiTheme="minorHAnsi" w:hAnsiTheme="minorHAnsi" w:cstheme="minorHAnsi"/>
                <w:sz w:val="20"/>
                <w:szCs w:val="20"/>
              </w:rPr>
              <w:t xml:space="preserve">Dodatno, </w:t>
            </w:r>
            <w:proofErr w:type="spellStart"/>
            <w:r w:rsidRPr="00D374AD">
              <w:rPr>
                <w:rFonts w:asciiTheme="minorHAnsi" w:hAnsiTheme="minorHAnsi" w:cstheme="minorHAnsi"/>
                <w:sz w:val="20"/>
                <w:szCs w:val="20"/>
              </w:rPr>
              <w:t>Telemach</w:t>
            </w:r>
            <w:proofErr w:type="spellEnd"/>
            <w:r w:rsidRPr="00D374AD">
              <w:rPr>
                <w:rFonts w:asciiTheme="minorHAnsi" w:hAnsiTheme="minorHAnsi" w:cstheme="minorHAnsi"/>
                <w:sz w:val="20"/>
                <w:szCs w:val="20"/>
              </w:rPr>
              <w:t xml:space="preserve"> skreće pažnju i da Troškovni model ne bi trebao sankcionirati operatore korisnike </w:t>
            </w:r>
            <w:proofErr w:type="spellStart"/>
            <w:r w:rsidRPr="00D374AD">
              <w:rPr>
                <w:rFonts w:asciiTheme="minorHAnsi" w:hAnsiTheme="minorHAnsi" w:cstheme="minorHAnsi"/>
                <w:sz w:val="20"/>
                <w:szCs w:val="20"/>
              </w:rPr>
              <w:t>rezultirajući</w:t>
            </w:r>
            <w:proofErr w:type="spellEnd"/>
            <w:r w:rsidRPr="00D374AD">
              <w:rPr>
                <w:rFonts w:asciiTheme="minorHAnsi" w:hAnsiTheme="minorHAnsi" w:cstheme="minorHAnsi"/>
                <w:sz w:val="20"/>
                <w:szCs w:val="20"/>
              </w:rPr>
              <w:t xml:space="preserve"> visokim veleprodajnim naknadama zbog nisko definirane potražnje na neefikasnoj mreži. Ovdje samo za primjer ističu model izgradnje </w:t>
            </w:r>
            <w:proofErr w:type="spellStart"/>
            <w:r w:rsidRPr="00D374AD">
              <w:rPr>
                <w:rFonts w:asciiTheme="minorHAnsi" w:hAnsiTheme="minorHAnsi" w:cstheme="minorHAnsi"/>
                <w:sz w:val="20"/>
                <w:szCs w:val="20"/>
              </w:rPr>
              <w:t>SDM</w:t>
            </w:r>
            <w:proofErr w:type="spellEnd"/>
            <w:r w:rsidRPr="00D374AD">
              <w:rPr>
                <w:rFonts w:asciiTheme="minorHAnsi" w:hAnsiTheme="minorHAnsi" w:cstheme="minorHAnsi"/>
                <w:sz w:val="20"/>
                <w:szCs w:val="20"/>
              </w:rPr>
              <w:t xml:space="preserve">-a, uslijed kojeg se do svake korisničke jedinice moralo planirati 1,2 optičke niti. Time je 20% mreže zapravo odmah neefikasno čak i kad bi se zaista spojila svaka obuhvaćena jedinica. Činjenica da je 1,2 niti predviđeno i za npr. semafor u području obuhvata, dodatno podiže neefikasnost. Trošak koji uslijed toga nastaje je nepotreban, a pada izravno na teret operatora korisnika kroz veleprodajne naknade. </w:t>
            </w:r>
          </w:p>
          <w:p w14:paraId="7FB4B65B" w14:textId="0B02C8D0" w:rsidR="00132EA6" w:rsidRPr="00876905" w:rsidRDefault="00132EA6" w:rsidP="00876905">
            <w:pPr>
              <w:spacing w:after="160" w:line="259" w:lineRule="auto"/>
              <w:ind w:left="-110"/>
              <w:jc w:val="both"/>
              <w:rPr>
                <w:rFonts w:asciiTheme="minorHAnsi" w:hAnsiTheme="minorHAnsi" w:cstheme="minorHAnsi"/>
                <w:sz w:val="20"/>
                <w:szCs w:val="20"/>
              </w:rPr>
            </w:pPr>
            <w:r w:rsidRPr="00876905">
              <w:rPr>
                <w:rFonts w:asciiTheme="minorHAnsi" w:hAnsiTheme="minorHAnsi" w:cstheme="minorHAnsi"/>
                <w:sz w:val="20"/>
                <w:szCs w:val="20"/>
              </w:rPr>
              <w:t xml:space="preserve">Zbog navedenog bi bilo nužno ili: a) troškove neefikasnog dijela mreže izuzeti iz cjelokupnog iznosa troškova koji ulaze u izračun veleprodajnih naknada ili b) take </w:t>
            </w:r>
            <w:proofErr w:type="spellStart"/>
            <w:r w:rsidRPr="00876905">
              <w:rPr>
                <w:rFonts w:asciiTheme="minorHAnsi" w:hAnsiTheme="minorHAnsi" w:cstheme="minorHAnsi"/>
                <w:sz w:val="20"/>
                <w:szCs w:val="20"/>
              </w:rPr>
              <w:t>up</w:t>
            </w:r>
            <w:proofErr w:type="spellEnd"/>
            <w:r w:rsidRPr="00876905">
              <w:rPr>
                <w:rFonts w:asciiTheme="minorHAnsi" w:hAnsiTheme="minorHAnsi" w:cstheme="minorHAnsi"/>
                <w:sz w:val="20"/>
                <w:szCs w:val="20"/>
              </w:rPr>
              <w:t xml:space="preserve"> na optici podići kako bi se smanjio utjecaj neefikasnosti.</w:t>
            </w:r>
          </w:p>
        </w:tc>
        <w:tc>
          <w:tcPr>
            <w:tcW w:w="1936" w:type="pct"/>
            <w:tcBorders>
              <w:top w:val="single" w:sz="6" w:space="0" w:color="CCCCCC"/>
              <w:left w:val="single" w:sz="6" w:space="0" w:color="CCCCCC"/>
              <w:bottom w:val="single" w:sz="6" w:space="0" w:color="CCCCCC"/>
              <w:right w:val="single" w:sz="6" w:space="0" w:color="CCCCCC"/>
            </w:tcBorders>
          </w:tcPr>
          <w:p w14:paraId="5B1AFFDB" w14:textId="079296C8" w:rsidR="00132EA6" w:rsidRPr="00D374AD" w:rsidRDefault="007A0739" w:rsidP="00C14C99">
            <w:pPr>
              <w:jc w:val="both"/>
              <w:rPr>
                <w:rFonts w:asciiTheme="minorHAnsi" w:hAnsiTheme="minorHAnsi" w:cstheme="minorHAnsi"/>
                <w:b/>
                <w:sz w:val="20"/>
                <w:szCs w:val="20"/>
              </w:rPr>
            </w:pPr>
            <w:r>
              <w:rPr>
                <w:rFonts w:asciiTheme="minorHAnsi" w:hAnsiTheme="minorHAnsi" w:cstheme="minorHAnsi"/>
                <w:sz w:val="20"/>
                <w:szCs w:val="20"/>
              </w:rPr>
              <w:t xml:space="preserve">Vezano uz prijedlog </w:t>
            </w:r>
            <w:proofErr w:type="spellStart"/>
            <w:r>
              <w:rPr>
                <w:rFonts w:asciiTheme="minorHAnsi" w:hAnsiTheme="minorHAnsi" w:cstheme="minorHAnsi"/>
                <w:sz w:val="20"/>
                <w:szCs w:val="20"/>
              </w:rPr>
              <w:t>Telemacha</w:t>
            </w:r>
            <w:proofErr w:type="spellEnd"/>
            <w:r>
              <w:rPr>
                <w:rFonts w:asciiTheme="minorHAnsi" w:hAnsiTheme="minorHAnsi" w:cstheme="minorHAnsi"/>
                <w:sz w:val="20"/>
                <w:szCs w:val="20"/>
              </w:rPr>
              <w:t xml:space="preserve"> o nužnosti postavljanja ambicioznije stope </w:t>
            </w:r>
            <w:proofErr w:type="spellStart"/>
            <w:r>
              <w:rPr>
                <w:rFonts w:asciiTheme="minorHAnsi" w:hAnsiTheme="minorHAnsi" w:cstheme="minorHAnsi"/>
                <w:sz w:val="20"/>
                <w:szCs w:val="20"/>
              </w:rPr>
              <w:t>utilizacije</w:t>
            </w:r>
            <w:proofErr w:type="spellEnd"/>
            <w:r>
              <w:rPr>
                <w:rFonts w:asciiTheme="minorHAnsi" w:hAnsiTheme="minorHAnsi" w:cstheme="minorHAnsi"/>
                <w:sz w:val="20"/>
                <w:szCs w:val="20"/>
              </w:rPr>
              <w:t xml:space="preserve"> HT-ove svjetlovodne mreže i posljedično veće potražnje za uslugama na svjetlovodnoj mreži HT-a</w:t>
            </w:r>
            <w:r w:rsidR="00DB04BB">
              <w:rPr>
                <w:rFonts w:asciiTheme="minorHAnsi" w:hAnsiTheme="minorHAnsi" w:cstheme="minorHAnsi"/>
                <w:sz w:val="20"/>
                <w:szCs w:val="20"/>
              </w:rPr>
              <w:t xml:space="preserve">, budući da </w:t>
            </w:r>
            <w:proofErr w:type="spellStart"/>
            <w:r w:rsidR="00DB04BB">
              <w:rPr>
                <w:rFonts w:asciiTheme="minorHAnsi" w:hAnsiTheme="minorHAnsi" w:cstheme="minorHAnsi"/>
                <w:sz w:val="20"/>
                <w:szCs w:val="20"/>
              </w:rPr>
              <w:t>Telemach</w:t>
            </w:r>
            <w:proofErr w:type="spellEnd"/>
            <w:r w:rsidR="00DB04BB">
              <w:rPr>
                <w:rFonts w:asciiTheme="minorHAnsi" w:hAnsiTheme="minorHAnsi" w:cstheme="minorHAnsi"/>
                <w:sz w:val="20"/>
                <w:szCs w:val="20"/>
              </w:rPr>
              <w:t xml:space="preserve"> ne iznosi nikakve argumente uz svoj prijedlog, HAKOM ga ne prihvaća. Argument da će se u budućem razdoblju događati </w:t>
            </w:r>
            <w:r w:rsidR="00DB04BB" w:rsidRPr="00DB04BB">
              <w:rPr>
                <w:rFonts w:asciiTheme="minorHAnsi" w:hAnsiTheme="minorHAnsi" w:cstheme="minorHAnsi"/>
                <w:sz w:val="20"/>
                <w:szCs w:val="20"/>
              </w:rPr>
              <w:t>zamjena bakrenih priključaka svjetlovodnim te migracija korisnika na svjetlovodnu pristupnu mrežu</w:t>
            </w:r>
            <w:r w:rsidR="00DB04BB">
              <w:rPr>
                <w:rFonts w:asciiTheme="minorHAnsi" w:hAnsiTheme="minorHAnsi" w:cstheme="minorHAnsi"/>
                <w:sz w:val="20"/>
                <w:szCs w:val="20"/>
              </w:rPr>
              <w:t xml:space="preserve"> je već uzeta u obzir kod procjene potražnje kako na HT-ovoj svjetlovodnoj mreži tako i na bakrenoj mreži.</w:t>
            </w:r>
          </w:p>
          <w:p w14:paraId="7C2B1276" w14:textId="63942D1F" w:rsidR="00132EA6" w:rsidRDefault="00132EA6" w:rsidP="00132EA6">
            <w:pPr>
              <w:ind w:left="39"/>
              <w:rPr>
                <w:rFonts w:asciiTheme="minorHAnsi" w:hAnsiTheme="minorHAnsi" w:cstheme="minorHAnsi"/>
                <w:b/>
                <w:sz w:val="20"/>
                <w:szCs w:val="20"/>
              </w:rPr>
            </w:pPr>
          </w:p>
          <w:p w14:paraId="4693DD7F" w14:textId="25D820B2" w:rsidR="00DB04BB" w:rsidRDefault="00DB04BB" w:rsidP="00C14C99">
            <w:pPr>
              <w:ind w:left="39"/>
              <w:jc w:val="both"/>
              <w:rPr>
                <w:rFonts w:asciiTheme="minorHAnsi" w:hAnsiTheme="minorHAnsi" w:cstheme="minorHAnsi"/>
                <w:sz w:val="20"/>
                <w:szCs w:val="20"/>
              </w:rPr>
            </w:pPr>
            <w:r w:rsidRPr="00C14C99">
              <w:rPr>
                <w:rFonts w:asciiTheme="minorHAnsi" w:hAnsiTheme="minorHAnsi" w:cstheme="minorHAnsi"/>
                <w:sz w:val="20"/>
                <w:szCs w:val="20"/>
              </w:rPr>
              <w:t xml:space="preserve">Što se tiče navoda </w:t>
            </w:r>
            <w:proofErr w:type="spellStart"/>
            <w:r w:rsidRPr="00C14C99">
              <w:rPr>
                <w:rFonts w:asciiTheme="minorHAnsi" w:hAnsiTheme="minorHAnsi" w:cstheme="minorHAnsi"/>
                <w:sz w:val="20"/>
                <w:szCs w:val="20"/>
              </w:rPr>
              <w:t>Telemacha</w:t>
            </w:r>
            <w:proofErr w:type="spellEnd"/>
            <w:r w:rsidRPr="00C14C99">
              <w:rPr>
                <w:rFonts w:asciiTheme="minorHAnsi" w:hAnsiTheme="minorHAnsi" w:cstheme="minorHAnsi"/>
                <w:sz w:val="20"/>
                <w:szCs w:val="20"/>
              </w:rPr>
              <w:t xml:space="preserve"> </w:t>
            </w:r>
            <w:r>
              <w:rPr>
                <w:rFonts w:asciiTheme="minorHAnsi" w:hAnsiTheme="minorHAnsi" w:cstheme="minorHAnsi"/>
                <w:sz w:val="20"/>
                <w:szCs w:val="20"/>
              </w:rPr>
              <w:t>„…</w:t>
            </w:r>
            <w:r w:rsidRPr="00C14C99">
              <w:rPr>
                <w:rFonts w:asciiTheme="minorHAnsi" w:hAnsiTheme="minorHAnsi" w:cstheme="minorHAnsi"/>
                <w:i/>
                <w:sz w:val="20"/>
                <w:szCs w:val="20"/>
              </w:rPr>
              <w:t>kako je HT još u siječnju i veljači 2023. obustavio pružanje maloprodajnih Max2 i Max3 paketa na bakrenoj tehnologiji u Zagrebu i Splitu, na adresama taksativno navedenim u cjeniku</w:t>
            </w:r>
            <w:r>
              <w:rPr>
                <w:rFonts w:asciiTheme="minorHAnsi" w:hAnsiTheme="minorHAnsi" w:cstheme="minorHAnsi"/>
                <w:i/>
                <w:sz w:val="20"/>
                <w:szCs w:val="20"/>
              </w:rPr>
              <w:t xml:space="preserve">…“, </w:t>
            </w:r>
            <w:r>
              <w:rPr>
                <w:rFonts w:asciiTheme="minorHAnsi" w:hAnsiTheme="minorHAnsi" w:cstheme="minorHAnsi"/>
                <w:sz w:val="20"/>
                <w:szCs w:val="20"/>
              </w:rPr>
              <w:t xml:space="preserve">iako isti nema nikakve veze s ažuriranjem troškovnog modela, HAKOM smatra potrebnim istaknuti da HT ima pravo na maloprodajnoj razni provoditi takve aktivnosti te da alternativni operatori nisu niti na koji način diskriminirani takvim aktivnostima HT-a. Naime, svaki operator, pa i HT, ima potpunu slobodu pri definiranju vlastitih maloprodajnih ponuda, ako time nisu prekršeni važeći propisi i/ili regulatorne obveze. Nejasno je na što </w:t>
            </w:r>
            <w:proofErr w:type="spellStart"/>
            <w:r>
              <w:rPr>
                <w:rFonts w:asciiTheme="minorHAnsi" w:hAnsiTheme="minorHAnsi" w:cstheme="minorHAnsi"/>
                <w:sz w:val="20"/>
                <w:szCs w:val="20"/>
              </w:rPr>
              <w:t>Telemach</w:t>
            </w:r>
            <w:proofErr w:type="spellEnd"/>
            <w:r>
              <w:rPr>
                <w:rFonts w:asciiTheme="minorHAnsi" w:hAnsiTheme="minorHAnsi" w:cstheme="minorHAnsi"/>
                <w:sz w:val="20"/>
                <w:szCs w:val="20"/>
              </w:rPr>
              <w:t xml:space="preserve"> misli kada navodi da „…</w:t>
            </w:r>
            <w:r w:rsidRPr="00C14C99">
              <w:rPr>
                <w:rFonts w:asciiTheme="minorHAnsi" w:hAnsiTheme="minorHAnsi" w:cstheme="minorHAnsi"/>
                <w:i/>
                <w:sz w:val="20"/>
                <w:szCs w:val="20"/>
              </w:rPr>
              <w:t>iako još nisu objavljeni veleprodajni uvjeti na temelju kojih će operatori korisnici migrirati vlastite korisnike na svjetlovodnu pristupnu mrežu</w:t>
            </w:r>
            <w:r>
              <w:rPr>
                <w:rFonts w:asciiTheme="minorHAnsi" w:hAnsiTheme="minorHAnsi" w:cstheme="minorHAnsi"/>
                <w:sz w:val="20"/>
                <w:szCs w:val="20"/>
              </w:rPr>
              <w:t>“. Naime, HT ima objavljene veleprodajne uvjete u standardnim ponudama i ti uvjeti su primjenjivi i u situaciji migracije krajnjih korisnika na svjetlovodnu mrežu.</w:t>
            </w:r>
          </w:p>
          <w:p w14:paraId="6F6B1558" w14:textId="1C6D09B3" w:rsidR="00192997" w:rsidRDefault="00192997" w:rsidP="00132EA6">
            <w:pPr>
              <w:ind w:left="39"/>
              <w:rPr>
                <w:rFonts w:asciiTheme="minorHAnsi" w:hAnsiTheme="minorHAnsi" w:cstheme="minorHAnsi"/>
                <w:sz w:val="20"/>
                <w:szCs w:val="20"/>
              </w:rPr>
            </w:pPr>
          </w:p>
          <w:p w14:paraId="1E19E009" w14:textId="1096F139" w:rsidR="00192997" w:rsidRDefault="00192997" w:rsidP="00C14C99">
            <w:pPr>
              <w:ind w:left="39"/>
              <w:jc w:val="both"/>
              <w:rPr>
                <w:rFonts w:asciiTheme="minorHAnsi" w:hAnsiTheme="minorHAnsi" w:cstheme="minorHAnsi"/>
                <w:sz w:val="20"/>
                <w:szCs w:val="20"/>
              </w:rPr>
            </w:pPr>
            <w:r>
              <w:rPr>
                <w:rFonts w:asciiTheme="minorHAnsi" w:hAnsiTheme="minorHAnsi" w:cstheme="minorHAnsi"/>
                <w:sz w:val="20"/>
                <w:szCs w:val="20"/>
              </w:rPr>
              <w:t xml:space="preserve">HAKOM dalje ističe da je u troškovni model već implementiran mehanizam prema kojemu se </w:t>
            </w:r>
            <w:proofErr w:type="spellStart"/>
            <w:r>
              <w:rPr>
                <w:rFonts w:asciiTheme="minorHAnsi" w:hAnsiTheme="minorHAnsi" w:cstheme="minorHAnsi"/>
                <w:sz w:val="20"/>
                <w:szCs w:val="20"/>
              </w:rPr>
              <w:t>OPEX</w:t>
            </w:r>
            <w:proofErr w:type="spellEnd"/>
            <w:r>
              <w:rPr>
                <w:rFonts w:asciiTheme="minorHAnsi" w:hAnsiTheme="minorHAnsi" w:cstheme="minorHAnsi"/>
                <w:sz w:val="20"/>
                <w:szCs w:val="20"/>
              </w:rPr>
              <w:t xml:space="preserve"> troškovi bakrene mreže za buduća razdoblja smanjuje upravo iz razloga jer se očekuje da bi učinkoviti operator trebao ugasiti bakrenu mrežu u područjima u kojima ima izgrađenu svjetlovodnu mrežu.</w:t>
            </w:r>
          </w:p>
          <w:p w14:paraId="625ADCD5" w14:textId="77777777" w:rsidR="00192997" w:rsidRPr="00C14C99" w:rsidRDefault="00192997" w:rsidP="00132EA6">
            <w:pPr>
              <w:ind w:left="39"/>
              <w:rPr>
                <w:rFonts w:asciiTheme="minorHAnsi" w:hAnsiTheme="minorHAnsi" w:cstheme="minorHAnsi"/>
                <w:i/>
                <w:sz w:val="20"/>
                <w:szCs w:val="20"/>
              </w:rPr>
            </w:pPr>
          </w:p>
          <w:p w14:paraId="52C4CC0D" w14:textId="35D65FEF" w:rsidR="00132EA6" w:rsidRPr="00D374AD" w:rsidRDefault="00132EA6" w:rsidP="00132EA6">
            <w:pPr>
              <w:ind w:left="39"/>
              <w:rPr>
                <w:rFonts w:asciiTheme="minorHAnsi" w:hAnsiTheme="minorHAnsi" w:cstheme="minorHAnsi"/>
                <w:b/>
                <w:sz w:val="20"/>
                <w:szCs w:val="20"/>
              </w:rPr>
            </w:pPr>
          </w:p>
        </w:tc>
      </w:tr>
      <w:tr w:rsidR="00132EA6" w:rsidRPr="00CE310D" w14:paraId="6038E961"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495570A" w14:textId="6FAAFC2C" w:rsidR="00132EA6" w:rsidRPr="00CE310D" w:rsidRDefault="00132EA6" w:rsidP="00132EA6">
            <w:pPr>
              <w:rPr>
                <w:rFonts w:asciiTheme="minorHAnsi" w:hAnsiTheme="minorHAnsi" w:cstheme="minorHAnsi"/>
                <w:b/>
                <w:bCs/>
              </w:rPr>
            </w:pPr>
            <w:r w:rsidRPr="00CE310D">
              <w:rPr>
                <w:rFonts w:asciiTheme="minorHAnsi" w:hAnsiTheme="minorHAnsi" w:cstheme="minorHAnsi"/>
                <w:b/>
                <w:bCs/>
              </w:rPr>
              <w:t xml:space="preserve">Zaprimljeni komentari na pitanje 3: </w:t>
            </w:r>
            <w:r w:rsidRPr="00CE310D">
              <w:rPr>
                <w:rFonts w:asciiTheme="minorHAnsi" w:hAnsiTheme="minorHAnsi" w:cstheme="minorHAnsi"/>
              </w:rPr>
              <w:t>Koje je vaš stav o ažuriranim ulaznim podacima o jediničnim troškovima?</w:t>
            </w:r>
            <w:r w:rsidRPr="00CE310D">
              <w:rPr>
                <w:rFonts w:asciiTheme="minorHAnsi" w:hAnsiTheme="minorHAnsi" w:cstheme="minorHAnsi"/>
                <w:b/>
                <w:bCs/>
              </w:rPr>
              <w:t xml:space="preserve"> </w:t>
            </w:r>
          </w:p>
        </w:tc>
      </w:tr>
      <w:tr w:rsidR="00132EA6" w:rsidRPr="00CE310D" w14:paraId="4F5258C0"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25E2AC6" w14:textId="77777777" w:rsidR="00132EA6" w:rsidRPr="00C14C99" w:rsidRDefault="00132EA6" w:rsidP="00132EA6">
            <w:pPr>
              <w:rPr>
                <w:rFonts w:asciiTheme="minorHAnsi" w:hAnsiTheme="minorHAnsi" w:cstheme="minorHAnsi"/>
                <w:sz w:val="20"/>
                <w:szCs w:val="20"/>
              </w:rPr>
            </w:pP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19B9D0F" w14:textId="4EE1B9DA" w:rsidR="00132EA6" w:rsidRPr="00C14C99" w:rsidRDefault="00132EA6" w:rsidP="00132EA6">
            <w:pPr>
              <w:rPr>
                <w:rFonts w:asciiTheme="minorHAnsi" w:hAnsiTheme="minorHAnsi" w:cstheme="minorHAnsi"/>
                <w:sz w:val="20"/>
                <w:szCs w:val="20"/>
              </w:rPr>
            </w:pPr>
            <w:r w:rsidRPr="00C14C99">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478925A" w14:textId="77777777" w:rsidR="00132EA6" w:rsidRPr="00C14C99" w:rsidRDefault="00132EA6" w:rsidP="00132EA6">
            <w:pPr>
              <w:jc w:val="both"/>
              <w:rPr>
                <w:rFonts w:asciiTheme="minorHAnsi" w:hAnsiTheme="minorHAnsi" w:cstheme="minorHAnsi"/>
                <w:sz w:val="20"/>
                <w:szCs w:val="20"/>
              </w:rPr>
            </w:pPr>
            <w:r w:rsidRPr="00C14C99">
              <w:rPr>
                <w:rFonts w:asciiTheme="minorHAnsi" w:hAnsiTheme="minorHAnsi" w:cstheme="minorHAnsi"/>
                <w:sz w:val="20"/>
                <w:szCs w:val="20"/>
              </w:rPr>
              <w:t>HT iskazuje nezadovoljstvo u dijelu ažuriranja podataka o jediničnim troškovima za niže navedene kategorije:</w:t>
            </w:r>
          </w:p>
          <w:p w14:paraId="48D5968E" w14:textId="43AD856E" w:rsidR="00132EA6" w:rsidRPr="000805B7" w:rsidRDefault="00132EA6" w:rsidP="00132EA6">
            <w:pPr>
              <w:jc w:val="both"/>
              <w:rPr>
                <w:rFonts w:asciiTheme="minorHAnsi" w:hAnsiTheme="minorHAnsi" w:cstheme="minorHAnsi"/>
                <w:sz w:val="20"/>
                <w:szCs w:val="20"/>
              </w:rPr>
            </w:pPr>
          </w:p>
          <w:p w14:paraId="44FDAC2A" w14:textId="77777777" w:rsidR="00132EA6" w:rsidRPr="000805B7" w:rsidRDefault="00132EA6" w:rsidP="00132EA6">
            <w:pPr>
              <w:pStyle w:val="ListParagraph"/>
              <w:numPr>
                <w:ilvl w:val="0"/>
                <w:numId w:val="9"/>
              </w:numPr>
              <w:jc w:val="both"/>
              <w:rPr>
                <w:rFonts w:asciiTheme="minorHAnsi" w:hAnsiTheme="minorHAnsi" w:cstheme="minorHAnsi"/>
                <w:sz w:val="20"/>
                <w:szCs w:val="20"/>
                <w:u w:val="single"/>
              </w:rPr>
            </w:pPr>
            <w:proofErr w:type="spellStart"/>
            <w:r w:rsidRPr="000805B7">
              <w:rPr>
                <w:rFonts w:asciiTheme="minorHAnsi" w:hAnsiTheme="minorHAnsi" w:cstheme="minorHAnsi"/>
                <w:sz w:val="20"/>
                <w:szCs w:val="20"/>
                <w:u w:val="single"/>
              </w:rPr>
              <w:t>CAPEX</w:t>
            </w:r>
            <w:proofErr w:type="spellEnd"/>
            <w:r w:rsidRPr="000805B7">
              <w:rPr>
                <w:rFonts w:asciiTheme="minorHAnsi" w:hAnsiTheme="minorHAnsi" w:cstheme="minorHAnsi"/>
                <w:sz w:val="20"/>
                <w:szCs w:val="20"/>
                <w:u w:val="single"/>
              </w:rPr>
              <w:t xml:space="preserve"> troškovi</w:t>
            </w:r>
          </w:p>
          <w:p w14:paraId="52C29449" w14:textId="77777777" w:rsidR="00132EA6" w:rsidRPr="000805B7" w:rsidRDefault="00132EA6" w:rsidP="00132EA6">
            <w:pPr>
              <w:jc w:val="both"/>
              <w:rPr>
                <w:rFonts w:asciiTheme="minorHAnsi" w:hAnsiTheme="minorHAnsi" w:cstheme="minorHAnsi"/>
                <w:sz w:val="20"/>
                <w:szCs w:val="20"/>
                <w:u w:val="single"/>
              </w:rPr>
            </w:pPr>
          </w:p>
          <w:p w14:paraId="0DBF83DF" w14:textId="44F53C24" w:rsidR="00132EA6" w:rsidRPr="000805B7" w:rsidRDefault="00132EA6" w:rsidP="00132EA6">
            <w:pPr>
              <w:jc w:val="both"/>
              <w:rPr>
                <w:rFonts w:asciiTheme="minorHAnsi" w:hAnsiTheme="minorHAnsi" w:cstheme="minorHAnsi"/>
                <w:sz w:val="20"/>
                <w:szCs w:val="20"/>
              </w:rPr>
            </w:pPr>
            <w:r w:rsidRPr="000805B7">
              <w:rPr>
                <w:rFonts w:asciiTheme="minorHAnsi" w:hAnsiTheme="minorHAnsi" w:cstheme="minorHAnsi"/>
                <w:sz w:val="20"/>
                <w:szCs w:val="20"/>
              </w:rPr>
              <w:t xml:space="preserve">HT navodi kako HAKOM nije prihvatio dio podataka o jediničnim </w:t>
            </w:r>
            <w:proofErr w:type="spellStart"/>
            <w:r w:rsidRPr="000805B7">
              <w:rPr>
                <w:rFonts w:asciiTheme="minorHAnsi" w:hAnsiTheme="minorHAnsi" w:cstheme="minorHAnsi"/>
                <w:sz w:val="20"/>
                <w:szCs w:val="20"/>
              </w:rPr>
              <w:t>CAPEX</w:t>
            </w:r>
            <w:proofErr w:type="spellEnd"/>
            <w:r w:rsidRPr="000805B7">
              <w:rPr>
                <w:rFonts w:asciiTheme="minorHAnsi" w:hAnsiTheme="minorHAnsi" w:cstheme="minorHAnsi"/>
                <w:sz w:val="20"/>
                <w:szCs w:val="20"/>
              </w:rPr>
              <w:t xml:space="preserve"> troškovima HT-a vezanim za dio opreme za pristupnu optičku mrežu te za rovove s cijevima koji su značajno umanjeni. Naime, HT ističe da je važno </w:t>
            </w:r>
            <w:proofErr w:type="spellStart"/>
            <w:r w:rsidRPr="000805B7">
              <w:rPr>
                <w:rFonts w:asciiTheme="minorHAnsi" w:hAnsiTheme="minorHAnsi" w:cstheme="minorHAnsi"/>
                <w:sz w:val="20"/>
                <w:szCs w:val="20"/>
              </w:rPr>
              <w:t>naglasti</w:t>
            </w:r>
            <w:proofErr w:type="spellEnd"/>
            <w:r w:rsidRPr="000805B7">
              <w:rPr>
                <w:rFonts w:asciiTheme="minorHAnsi" w:hAnsiTheme="minorHAnsi" w:cstheme="minorHAnsi"/>
                <w:sz w:val="20"/>
                <w:szCs w:val="20"/>
              </w:rPr>
              <w:t xml:space="preserve"> kako je HT pružio sve relevantne podatke potkrijepljene važećim ugovorima i dostavljenim fakturama koje su realizirane kroz nabavne i knjigovodstvene procese tijekom 2022. Nadalje, HT ističe kako HAKOM sam navodi u Dokumentu Izvještaj o ažuriranju </w:t>
            </w:r>
            <w:proofErr w:type="spellStart"/>
            <w:r w:rsidRPr="000805B7">
              <w:rPr>
                <w:rFonts w:asciiTheme="minorHAnsi" w:hAnsiTheme="minorHAnsi" w:cstheme="minorHAnsi"/>
                <w:sz w:val="20"/>
                <w:szCs w:val="20"/>
              </w:rPr>
              <w:t>BULRIC</w:t>
            </w:r>
            <w:proofErr w:type="spellEnd"/>
            <w:r w:rsidRPr="000805B7">
              <w:rPr>
                <w:rFonts w:asciiTheme="minorHAnsi" w:hAnsiTheme="minorHAnsi" w:cstheme="minorHAnsi"/>
                <w:sz w:val="20"/>
                <w:szCs w:val="20"/>
              </w:rPr>
              <w:t>+ troškovnog modela … „</w:t>
            </w:r>
            <w:r w:rsidRPr="000805B7">
              <w:rPr>
                <w:rFonts w:asciiTheme="minorHAnsi" w:hAnsiTheme="minorHAnsi" w:cstheme="minorHAnsi"/>
                <w:i/>
                <w:sz w:val="20"/>
                <w:szCs w:val="20"/>
              </w:rPr>
              <w:t xml:space="preserve">Međutim, za dio jediničnih troškova koji su prikupljeni u procesu prikupljanja podataka utvrđeno je da nisu dovoljno pouzdani, razumni i usklađeni s uobičajenim jediničnim troškovima u industriji te su u Troškovni model ugrađeni jedinični </w:t>
            </w:r>
            <w:r w:rsidRPr="000805B7">
              <w:rPr>
                <w:rFonts w:asciiTheme="minorHAnsi" w:hAnsiTheme="minorHAnsi" w:cstheme="minorHAnsi"/>
                <w:i/>
                <w:sz w:val="20"/>
                <w:szCs w:val="20"/>
              </w:rPr>
              <w:lastRenderedPageBreak/>
              <w:t>troškovi iz alternativnih izvora, u skladu kako je definirano metodološkim načelima.</w:t>
            </w:r>
            <w:r w:rsidRPr="000805B7">
              <w:rPr>
                <w:rFonts w:asciiTheme="minorHAnsi" w:hAnsiTheme="minorHAnsi" w:cstheme="minorHAnsi"/>
                <w:sz w:val="20"/>
                <w:szCs w:val="20"/>
              </w:rPr>
              <w:t>“  koristi podatke iz alternativnih izvora bez dodatnog pojašnjenja kriterija usporedivosti i odabira alternativnih izvora. Nadalje, HT navodi kako je HAKOM naknado dostavio podatke (slika 3) koji pružaju usporedni prikaz troškovnika po pojedinim stavkama, a koji su primijenjeni u HAKOM-ovom troškovnom modelu. HT ističe</w:t>
            </w:r>
            <w:r w:rsidR="00823BEB" w:rsidRPr="000805B7">
              <w:rPr>
                <w:rFonts w:asciiTheme="minorHAnsi" w:hAnsiTheme="minorHAnsi" w:cstheme="minorHAnsi"/>
                <w:sz w:val="20"/>
                <w:szCs w:val="20"/>
              </w:rPr>
              <w:t xml:space="preserve"> da</w:t>
            </w:r>
            <w:r w:rsidRPr="000805B7">
              <w:rPr>
                <w:rFonts w:asciiTheme="minorHAnsi" w:hAnsiTheme="minorHAnsi" w:cstheme="minorHAnsi"/>
                <w:sz w:val="20"/>
                <w:szCs w:val="20"/>
              </w:rPr>
              <w:t xml:space="preserve"> navedeni podaci ukazuje na slučajeve u kojima HAKOM nije prihvatio stvarne troškove HT-a i umjesto toga koristio alternativne izvore podataka. Stoga, postavlja se pitanje koliko su ovi alternativni izvori doista usporedivi s HT-om i, što je još važnije, koliko su relevantni u kontekstu modeliranja efikasnog operatora na području cijelog teritorija Republike Hrvatske.</w:t>
            </w:r>
          </w:p>
          <w:p w14:paraId="0732C334" w14:textId="77777777" w:rsidR="00132EA6" w:rsidRPr="000805B7" w:rsidRDefault="00132EA6" w:rsidP="00132EA6">
            <w:pPr>
              <w:jc w:val="both"/>
              <w:rPr>
                <w:rFonts w:asciiTheme="minorHAnsi" w:hAnsiTheme="minorHAnsi" w:cstheme="minorHAnsi"/>
                <w:sz w:val="20"/>
                <w:szCs w:val="20"/>
              </w:rPr>
            </w:pPr>
          </w:p>
          <w:p w14:paraId="4177566A" w14:textId="0F110899" w:rsidR="00132EA6" w:rsidRPr="00C14C99" w:rsidRDefault="00CD2D5F" w:rsidP="00132EA6">
            <w:pPr>
              <w:keepNext/>
              <w:jc w:val="both"/>
              <w:rPr>
                <w:rFonts w:asciiTheme="minorHAnsi" w:hAnsiTheme="minorHAnsi" w:cstheme="minorHAnsi"/>
              </w:rPr>
            </w:pPr>
            <w:r w:rsidRPr="00C14C99">
              <w:rPr>
                <w:rFonts w:asciiTheme="minorHAnsi" w:hAnsiTheme="minorHAnsi" w:cstheme="minorHAnsi"/>
              </w:rPr>
              <w:sym w:font="Wingdings" w:char="F022"/>
            </w:r>
            <w:r w:rsidRPr="00C14C99">
              <w:rPr>
                <w:rFonts w:asciiTheme="minorHAnsi" w:hAnsiTheme="minorHAnsi" w:cstheme="minorHAnsi"/>
              </w:rPr>
              <w:sym w:font="Wingdings" w:char="F022"/>
            </w:r>
            <w:r w:rsidRPr="00C14C99">
              <w:rPr>
                <w:rFonts w:asciiTheme="minorHAnsi" w:hAnsiTheme="minorHAnsi" w:cstheme="minorHAnsi"/>
              </w:rPr>
              <w:sym w:font="Wingdings" w:char="F022"/>
            </w:r>
          </w:p>
          <w:p w14:paraId="1A3B0703" w14:textId="77777777" w:rsidR="00132EA6" w:rsidRPr="00CE310D" w:rsidRDefault="00132EA6" w:rsidP="00132EA6">
            <w:pPr>
              <w:pStyle w:val="Caption"/>
              <w:jc w:val="both"/>
              <w:rPr>
                <w:rFonts w:asciiTheme="minorHAnsi" w:hAnsiTheme="minorHAnsi" w:cstheme="minorHAnsi"/>
                <w:sz w:val="20"/>
                <w:szCs w:val="20"/>
              </w:rPr>
            </w:pPr>
            <w:r w:rsidRPr="00C14C99">
              <w:rPr>
                <w:rFonts w:asciiTheme="minorHAnsi" w:hAnsiTheme="minorHAnsi" w:cstheme="minorHAnsi"/>
              </w:rPr>
              <w:t xml:space="preserve">Slika </w:t>
            </w:r>
            <w:r w:rsidR="00D137DE" w:rsidRPr="00C14C99">
              <w:rPr>
                <w:rFonts w:asciiTheme="minorHAnsi" w:hAnsiTheme="minorHAnsi" w:cstheme="minorHAnsi"/>
              </w:rPr>
              <w:fldChar w:fldCharType="begin"/>
            </w:r>
            <w:r w:rsidR="00D137DE" w:rsidRPr="00C14C99">
              <w:rPr>
                <w:rFonts w:asciiTheme="minorHAnsi" w:hAnsiTheme="minorHAnsi" w:cstheme="minorHAnsi"/>
              </w:rPr>
              <w:instrText xml:space="preserve"> SEQ Slika \* ARABIC </w:instrText>
            </w:r>
            <w:r w:rsidR="00D137DE" w:rsidRPr="00C14C99">
              <w:rPr>
                <w:rFonts w:asciiTheme="minorHAnsi" w:hAnsiTheme="minorHAnsi" w:cstheme="minorHAnsi"/>
              </w:rPr>
              <w:fldChar w:fldCharType="separate"/>
            </w:r>
            <w:r w:rsidRPr="00C14C99">
              <w:rPr>
                <w:rFonts w:asciiTheme="minorHAnsi" w:hAnsiTheme="minorHAnsi" w:cstheme="minorHAnsi"/>
                <w:noProof/>
              </w:rPr>
              <w:t>3</w:t>
            </w:r>
            <w:r w:rsidR="00D137DE" w:rsidRPr="00C14C99">
              <w:rPr>
                <w:rFonts w:asciiTheme="minorHAnsi" w:hAnsiTheme="minorHAnsi" w:cstheme="minorHAnsi"/>
                <w:noProof/>
              </w:rPr>
              <w:fldChar w:fldCharType="end"/>
            </w:r>
            <w:r w:rsidRPr="00C14C99">
              <w:rPr>
                <w:rFonts w:asciiTheme="minorHAnsi" w:hAnsiTheme="minorHAnsi" w:cstheme="minorHAnsi"/>
              </w:rPr>
              <w:t>-  Jedinična troškovi po pojedenim stavkama materijala i radova</w:t>
            </w:r>
          </w:p>
          <w:p w14:paraId="02CF4097" w14:textId="58F0A1D2" w:rsidR="00132EA6" w:rsidRPr="00CE310D" w:rsidRDefault="00132EA6" w:rsidP="00132EA6">
            <w:pPr>
              <w:pStyle w:val="ListParagraph"/>
              <w:ind w:left="0"/>
              <w:jc w:val="both"/>
              <w:rPr>
                <w:rFonts w:asciiTheme="minorHAnsi" w:hAnsiTheme="minorHAnsi" w:cstheme="minorHAnsi"/>
                <w:sz w:val="20"/>
                <w:szCs w:val="20"/>
              </w:rPr>
            </w:pPr>
            <w:r w:rsidRPr="00CE310D">
              <w:rPr>
                <w:rFonts w:asciiTheme="minorHAnsi" w:hAnsiTheme="minorHAnsi" w:cstheme="minorHAnsi"/>
                <w:sz w:val="20"/>
                <w:szCs w:val="20"/>
              </w:rPr>
              <w:t xml:space="preserve">Nadalje, HT ističe kako je važno napomenuti da HT temelji svoje cijene za gradnju na stvarnim troškovima, bez obzira na različite uvjete gradnje koji mogu uključivati ravan teren, brdovite krajeve ili otoke. </w:t>
            </w:r>
            <w:r w:rsidR="00823BEB" w:rsidRPr="00CE310D">
              <w:rPr>
                <w:rFonts w:asciiTheme="minorHAnsi" w:hAnsiTheme="minorHAnsi" w:cstheme="minorHAnsi"/>
                <w:sz w:val="20"/>
                <w:szCs w:val="20"/>
              </w:rPr>
              <w:t xml:space="preserve">Stoga, </w:t>
            </w:r>
            <w:r w:rsidRPr="00CE310D">
              <w:rPr>
                <w:rFonts w:asciiTheme="minorHAnsi" w:hAnsiTheme="minorHAnsi" w:cstheme="minorHAnsi"/>
                <w:sz w:val="20"/>
                <w:szCs w:val="20"/>
              </w:rPr>
              <w:t>očekivati</w:t>
            </w:r>
            <w:r w:rsidR="00823BEB" w:rsidRPr="00CE310D">
              <w:rPr>
                <w:rFonts w:asciiTheme="minorHAnsi" w:hAnsiTheme="minorHAnsi" w:cstheme="minorHAnsi"/>
                <w:sz w:val="20"/>
                <w:szCs w:val="20"/>
              </w:rPr>
              <w:t xml:space="preserve"> je</w:t>
            </w:r>
            <w:r w:rsidRPr="00CE310D">
              <w:rPr>
                <w:rFonts w:asciiTheme="minorHAnsi" w:hAnsiTheme="minorHAnsi" w:cstheme="minorHAnsi"/>
                <w:sz w:val="20"/>
                <w:szCs w:val="20"/>
              </w:rPr>
              <w:t xml:space="preserve"> da alternativni izvor, koji je odabran od strane HAKOM-a, koji pruža tako sveobuhvatno iskustvo u gradnji na raznolikim lokacijama čini se nelogičnim.</w:t>
            </w:r>
          </w:p>
          <w:p w14:paraId="139B1587" w14:textId="3F9590CB" w:rsidR="00132EA6" w:rsidRPr="00CE310D" w:rsidRDefault="00132EA6" w:rsidP="00132EA6">
            <w:pPr>
              <w:pStyle w:val="ListParagraph"/>
              <w:ind w:left="0"/>
              <w:jc w:val="both"/>
              <w:rPr>
                <w:rFonts w:asciiTheme="minorHAnsi" w:hAnsiTheme="minorHAnsi" w:cstheme="minorHAnsi"/>
                <w:sz w:val="20"/>
                <w:szCs w:val="20"/>
              </w:rPr>
            </w:pPr>
          </w:p>
          <w:p w14:paraId="2D1F7571" w14:textId="696C4234"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S obzirom na raznolikost uvjeta gradnje diljem Republike Hrvatske,</w:t>
            </w:r>
            <w:r w:rsidR="002A3618" w:rsidRPr="00CE310D">
              <w:rPr>
                <w:rFonts w:asciiTheme="minorHAnsi" w:hAnsiTheme="minorHAnsi" w:cstheme="minorHAnsi"/>
                <w:sz w:val="20"/>
                <w:szCs w:val="20"/>
              </w:rPr>
              <w:t xml:space="preserve"> </w:t>
            </w:r>
            <w:r w:rsidRPr="00CE310D">
              <w:rPr>
                <w:rFonts w:asciiTheme="minorHAnsi" w:hAnsiTheme="minorHAnsi" w:cstheme="minorHAnsi"/>
                <w:sz w:val="20"/>
                <w:szCs w:val="20"/>
              </w:rPr>
              <w:t>HT ističe da stvarni troškovi HT-a odražavaju iskustvo i specifičnosti povezane s tim različitim područjima. Stoga HT navodi kako postoji opravdan razlog za postavljanje pitanja o usporedivosti alternativnih izvora podataka koje je HAKOM koristio u svom troškovnom modelu u usporedbi s HT-ovim stvarnim troškovima.</w:t>
            </w:r>
          </w:p>
          <w:p w14:paraId="2AE944A5" w14:textId="77777777" w:rsidR="00132EA6" w:rsidRPr="00CE310D" w:rsidRDefault="00132EA6" w:rsidP="00132EA6">
            <w:pPr>
              <w:jc w:val="both"/>
              <w:rPr>
                <w:rFonts w:asciiTheme="minorHAnsi" w:hAnsiTheme="minorHAnsi" w:cstheme="minorHAnsi"/>
                <w:sz w:val="20"/>
                <w:szCs w:val="20"/>
              </w:rPr>
            </w:pPr>
          </w:p>
          <w:p w14:paraId="51FB4A8D"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Nadalje, HT smatra da i u slučaju kada se radi o istoj vrsti radova nije ispravno uspoređivati cijenu koju neki operator dobije samostalno ili u sklopu nekog puno većeg projekta ali na nekom manjem području s cijenom koju ima HT u sklopu okvirnog ugovora kojim se druga strana obvezuje te radove izvršiti po toj cijeni na cijelom teritoriju Republike Hrvatske. Stoga, HT smatra kako za svrhu izrade troškovnog modela za potrebe određivanja cijena na razini cijelog teritorija RH relevantne mogu biti samo cijena koje se primjenjuju na cijelom teritoriju RH ili neki prosjek cijena uzorka koji je dovoljno reprezentativan da se uzme kao neki prosjek na nacionalnoj razini.</w:t>
            </w:r>
          </w:p>
          <w:p w14:paraId="3067F08B" w14:textId="77777777" w:rsidR="00132EA6" w:rsidRPr="00CE310D" w:rsidRDefault="00132EA6" w:rsidP="00132EA6">
            <w:pPr>
              <w:jc w:val="both"/>
              <w:rPr>
                <w:rFonts w:asciiTheme="minorHAnsi" w:hAnsiTheme="minorHAnsi" w:cstheme="minorHAnsi"/>
                <w:sz w:val="20"/>
                <w:szCs w:val="20"/>
              </w:rPr>
            </w:pPr>
          </w:p>
          <w:p w14:paraId="1E83DEDD" w14:textId="48E96191"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Stoga, HT napominje da bi HAKOM </w:t>
            </w:r>
            <w:proofErr w:type="spellStart"/>
            <w:r w:rsidRPr="00CE310D">
              <w:rPr>
                <w:rFonts w:asciiTheme="minorHAnsi" w:hAnsiTheme="minorHAnsi" w:cstheme="minorHAnsi"/>
                <w:sz w:val="20"/>
                <w:szCs w:val="20"/>
              </w:rPr>
              <w:t>priligom</w:t>
            </w:r>
            <w:proofErr w:type="spellEnd"/>
            <w:r w:rsidRPr="00CE310D">
              <w:rPr>
                <w:rFonts w:asciiTheme="minorHAnsi" w:hAnsiTheme="minorHAnsi" w:cstheme="minorHAnsi"/>
                <w:sz w:val="20"/>
                <w:szCs w:val="20"/>
              </w:rPr>
              <w:t xml:space="preserve"> modeliranja </w:t>
            </w:r>
            <w:r w:rsidR="002A3618" w:rsidRPr="00CE310D">
              <w:rPr>
                <w:rFonts w:asciiTheme="minorHAnsi" w:hAnsiTheme="minorHAnsi" w:cstheme="minorHAnsi"/>
                <w:sz w:val="20"/>
                <w:szCs w:val="20"/>
              </w:rPr>
              <w:t>efikasnog operatora trebao</w:t>
            </w:r>
            <w:r w:rsidRPr="00CE310D">
              <w:rPr>
                <w:rFonts w:asciiTheme="minorHAnsi" w:hAnsiTheme="minorHAnsi" w:cstheme="minorHAnsi"/>
                <w:sz w:val="20"/>
                <w:szCs w:val="20"/>
              </w:rPr>
              <w:t xml:space="preserve"> bi voditi računa o stvarnim troškovima i uvjetima gradnje kako bi se postigla točnost i relevantnost veleprodajnih cijena na tržištu telekomunikacija.</w:t>
            </w:r>
          </w:p>
          <w:p w14:paraId="44097A02" w14:textId="77777777" w:rsidR="00132EA6" w:rsidRPr="00CE310D" w:rsidRDefault="00132EA6" w:rsidP="00132EA6">
            <w:pPr>
              <w:jc w:val="both"/>
              <w:rPr>
                <w:rFonts w:asciiTheme="minorHAnsi" w:hAnsiTheme="minorHAnsi" w:cstheme="minorHAnsi"/>
                <w:sz w:val="20"/>
                <w:szCs w:val="20"/>
              </w:rPr>
            </w:pPr>
          </w:p>
          <w:p w14:paraId="3A9A81A2"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Dodatno, HT ističe kako je HAKOM za stavku projektiranje i konzalting primijenio iskustvenu procjenu i koristio 8% kao zadovoljavajući postotak primijenivši ga na ukupne troškove. Međutim, HT navodi kako su projektiranje i konzalting sastavni dio</w:t>
            </w:r>
            <w:r w:rsidRPr="00CE310D">
              <w:rPr>
                <w:rFonts w:asciiTheme="minorHAnsi" w:hAnsiTheme="minorHAnsi" w:cstheme="minorHAnsi"/>
              </w:rPr>
              <w:t xml:space="preserve"> </w:t>
            </w:r>
            <w:r w:rsidRPr="00CE310D">
              <w:rPr>
                <w:rFonts w:asciiTheme="minorHAnsi" w:hAnsiTheme="minorHAnsi" w:cstheme="minorHAnsi"/>
                <w:sz w:val="20"/>
                <w:szCs w:val="20"/>
              </w:rPr>
              <w:t>svakog projekta i nemoguće ih je izostaviti jer oni proizlaze iz brojnih zakonskih obaveza – zakona, pravilnika, uredbi, operator koji se ne pridržava tih zakonskih obaveza i koji ih ne navodi u svom troškovniku ne radi u skladu sa zakonom.</w:t>
            </w:r>
            <w:r w:rsidRPr="00CE310D">
              <w:rPr>
                <w:rFonts w:asciiTheme="minorHAnsi" w:hAnsiTheme="minorHAnsi" w:cstheme="minorHAnsi"/>
              </w:rPr>
              <w:t xml:space="preserve"> </w:t>
            </w:r>
            <w:r w:rsidRPr="00CE310D">
              <w:rPr>
                <w:rFonts w:asciiTheme="minorHAnsi" w:hAnsiTheme="minorHAnsi" w:cstheme="minorHAnsi"/>
                <w:sz w:val="20"/>
                <w:szCs w:val="20"/>
              </w:rPr>
              <w:t>HT navodi da je prilikom dostave podataka koristio stvarne podatke za projektiranje i konzalting i ne može se složiti s proizvoljnom iskustvenom procjenom HAKOM-a od 8% koja nije potkrepljena stvarnim podacima. Troškovi konzaltinga sastoje se od brojnih radnji koje se obavljaju prije, za vrijeme i nakon gradnje a koje je HT obuhvatio pri izradi troškovnika:</w:t>
            </w:r>
          </w:p>
          <w:p w14:paraId="546BF4B3" w14:textId="77777777" w:rsidR="00132EA6" w:rsidRPr="00CE310D" w:rsidRDefault="00132EA6" w:rsidP="00132EA6">
            <w:pPr>
              <w:jc w:val="both"/>
              <w:rPr>
                <w:rFonts w:asciiTheme="minorHAnsi" w:hAnsiTheme="minorHAnsi" w:cstheme="minorHAnsi"/>
                <w:sz w:val="20"/>
                <w:szCs w:val="20"/>
              </w:rPr>
            </w:pPr>
          </w:p>
          <w:p w14:paraId="4C97507E" w14:textId="7AABF430"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Planiranje</w:t>
            </w:r>
          </w:p>
          <w:p w14:paraId="63F7C6F7" w14:textId="1B4D601F"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Izradu idejnog projekta</w:t>
            </w:r>
          </w:p>
          <w:p w14:paraId="3398DFBA" w14:textId="0A0EEB9A"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Ishođenje suglasnosti i dozvola javnopravnih tijela</w:t>
            </w:r>
          </w:p>
          <w:p w14:paraId="0ACBAEED" w14:textId="2B47C1C2"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Izradu projektne dokumentacije</w:t>
            </w:r>
          </w:p>
          <w:p w14:paraId="43027118" w14:textId="3260CB9C"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Izradu geodetskih elaborata i kolčenje</w:t>
            </w:r>
          </w:p>
          <w:p w14:paraId="4FB98BFF" w14:textId="2864F59D"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 xml:space="preserve">Rješavanje imovinsko-pravnih odnosa </w:t>
            </w:r>
          </w:p>
          <w:p w14:paraId="1C3C8D28" w14:textId="4CEC2418"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Vođenje projekta izgradnje</w:t>
            </w:r>
          </w:p>
          <w:p w14:paraId="59FFF100" w14:textId="53F3A0E7"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Izradu glavnog projekta</w:t>
            </w:r>
          </w:p>
          <w:p w14:paraId="4ACD730D" w14:textId="41AB80CB"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Ishođenje građevinske dozvole</w:t>
            </w:r>
          </w:p>
          <w:p w14:paraId="46C3A2B2" w14:textId="28242335" w:rsidR="00132EA6" w:rsidRPr="00CE310D" w:rsidRDefault="00DC143F" w:rsidP="00132EA6">
            <w:pPr>
              <w:pStyle w:val="ListParagraph"/>
              <w:numPr>
                <w:ilvl w:val="0"/>
                <w:numId w:val="9"/>
              </w:numPr>
              <w:jc w:val="both"/>
              <w:rPr>
                <w:rFonts w:asciiTheme="minorHAnsi" w:hAnsiTheme="minorHAnsi" w:cstheme="minorHAnsi"/>
                <w:sz w:val="20"/>
                <w:szCs w:val="20"/>
              </w:rPr>
            </w:pPr>
            <w:r>
              <w:rPr>
                <w:rFonts w:asciiTheme="minorHAnsi" w:hAnsiTheme="minorHAnsi" w:cstheme="minorHAnsi"/>
                <w:sz w:val="20"/>
                <w:szCs w:val="20"/>
              </w:rPr>
              <w:t>I</w:t>
            </w:r>
            <w:r w:rsidR="00132EA6" w:rsidRPr="00CE310D">
              <w:rPr>
                <w:rFonts w:asciiTheme="minorHAnsi" w:hAnsiTheme="minorHAnsi" w:cstheme="minorHAnsi"/>
                <w:sz w:val="20"/>
                <w:szCs w:val="20"/>
              </w:rPr>
              <w:t>zradu dokumentacije izvedenog stanja</w:t>
            </w:r>
          </w:p>
          <w:p w14:paraId="5A4572DC" w14:textId="0E8126A9" w:rsidR="00132EA6" w:rsidRPr="00CE310D" w:rsidRDefault="00132EA6" w:rsidP="00132EA6">
            <w:pPr>
              <w:pStyle w:val="ListParagraph"/>
              <w:numPr>
                <w:ilvl w:val="0"/>
                <w:numId w:val="9"/>
              </w:numPr>
              <w:jc w:val="both"/>
              <w:rPr>
                <w:rFonts w:asciiTheme="minorHAnsi" w:hAnsiTheme="minorHAnsi" w:cstheme="minorHAnsi"/>
                <w:sz w:val="20"/>
                <w:szCs w:val="20"/>
              </w:rPr>
            </w:pPr>
            <w:r w:rsidRPr="00CE310D">
              <w:rPr>
                <w:rFonts w:asciiTheme="minorHAnsi" w:hAnsiTheme="minorHAnsi" w:cstheme="minorHAnsi"/>
                <w:sz w:val="20"/>
                <w:szCs w:val="20"/>
              </w:rPr>
              <w:t>Tehnički pregled</w:t>
            </w:r>
          </w:p>
          <w:p w14:paraId="355446DA" w14:textId="77777777" w:rsidR="00132EA6" w:rsidRPr="00CE310D" w:rsidRDefault="00132EA6" w:rsidP="00132EA6">
            <w:pPr>
              <w:jc w:val="both"/>
              <w:rPr>
                <w:rFonts w:asciiTheme="minorHAnsi" w:hAnsiTheme="minorHAnsi" w:cstheme="minorHAnsi"/>
                <w:sz w:val="20"/>
                <w:szCs w:val="20"/>
              </w:rPr>
            </w:pPr>
          </w:p>
          <w:p w14:paraId="7D2EE65E"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Stoga, HT poziva HAKOM da pažljivo razmotri navedene pretpostavke u vezi sa jediničnim </w:t>
            </w:r>
            <w:proofErr w:type="spellStart"/>
            <w:r w:rsidRPr="00CE310D">
              <w:rPr>
                <w:rFonts w:asciiTheme="minorHAnsi" w:hAnsiTheme="minorHAnsi" w:cstheme="minorHAnsi"/>
                <w:sz w:val="20"/>
                <w:szCs w:val="20"/>
              </w:rPr>
              <w:t>CAPEX</w:t>
            </w:r>
            <w:proofErr w:type="spellEnd"/>
            <w:r w:rsidRPr="00CE310D">
              <w:rPr>
                <w:rFonts w:asciiTheme="minorHAnsi" w:hAnsiTheme="minorHAnsi" w:cstheme="minorHAnsi"/>
                <w:sz w:val="20"/>
                <w:szCs w:val="20"/>
              </w:rPr>
              <w:t xml:space="preserve"> troškovima, posebno u pogledu troškova projektiranja i konzultacija a sve sa ciljem da učinkoviti operator u RH posluje u skladu sa zakonskim obvezama i normama u telekomunikacijskom sektoru.</w:t>
            </w:r>
          </w:p>
          <w:p w14:paraId="0B48A7CD" w14:textId="77777777" w:rsidR="00132EA6" w:rsidRPr="00CE310D" w:rsidRDefault="00132EA6" w:rsidP="00132EA6">
            <w:pPr>
              <w:jc w:val="both"/>
              <w:rPr>
                <w:rFonts w:asciiTheme="minorHAnsi" w:hAnsiTheme="minorHAnsi" w:cstheme="minorHAnsi"/>
                <w:sz w:val="20"/>
                <w:szCs w:val="20"/>
              </w:rPr>
            </w:pPr>
          </w:p>
          <w:p w14:paraId="67E090CA" w14:textId="267F8A77" w:rsidR="00132EA6" w:rsidRPr="00CE310D" w:rsidRDefault="00132EA6" w:rsidP="00132EA6">
            <w:pPr>
              <w:pStyle w:val="ListParagraph"/>
              <w:ind w:left="0"/>
              <w:jc w:val="both"/>
              <w:rPr>
                <w:rFonts w:asciiTheme="minorHAnsi" w:hAnsiTheme="minorHAnsi" w:cstheme="minorHAnsi"/>
                <w:sz w:val="20"/>
                <w:szCs w:val="20"/>
              </w:rPr>
            </w:pPr>
            <w:r w:rsidRPr="00CE310D">
              <w:rPr>
                <w:rFonts w:asciiTheme="minorHAnsi" w:hAnsiTheme="minorHAnsi" w:cstheme="minorHAnsi"/>
                <w:sz w:val="20"/>
                <w:szCs w:val="20"/>
              </w:rPr>
              <w:t xml:space="preserve">Dodatno, HT navodi kako je iz dostavljenog ažuriranog troškovnog modela vidljivo da prosječna jedinična cijena za </w:t>
            </w:r>
            <w:proofErr w:type="spellStart"/>
            <w:r w:rsidRPr="00CE310D">
              <w:rPr>
                <w:rFonts w:asciiTheme="minorHAnsi" w:hAnsiTheme="minorHAnsi" w:cstheme="minorHAnsi"/>
                <w:sz w:val="20"/>
                <w:szCs w:val="20"/>
              </w:rPr>
              <w:t>FTTB</w:t>
            </w:r>
            <w:proofErr w:type="spellEnd"/>
            <w:r w:rsidRPr="00CE310D">
              <w:rPr>
                <w:rFonts w:asciiTheme="minorHAnsi" w:hAnsiTheme="minorHAnsi" w:cstheme="minorHAnsi"/>
                <w:sz w:val="20"/>
                <w:szCs w:val="20"/>
              </w:rPr>
              <w:t xml:space="preserve"> i </w:t>
            </w:r>
            <w:proofErr w:type="spellStart"/>
            <w:r w:rsidRPr="00CE310D">
              <w:rPr>
                <w:rFonts w:asciiTheme="minorHAnsi" w:hAnsiTheme="minorHAnsi" w:cstheme="minorHAnsi"/>
                <w:sz w:val="20"/>
                <w:szCs w:val="20"/>
              </w:rPr>
              <w:t>FTTDP</w:t>
            </w:r>
            <w:proofErr w:type="spellEnd"/>
            <w:r w:rsidRPr="00CE310D">
              <w:rPr>
                <w:rFonts w:asciiTheme="minorHAnsi" w:hAnsiTheme="minorHAnsi" w:cstheme="minorHAnsi"/>
                <w:sz w:val="20"/>
                <w:szCs w:val="20"/>
              </w:rPr>
              <w:t xml:space="preserve"> uređaje (</w:t>
            </w:r>
            <w:proofErr w:type="spellStart"/>
            <w:r w:rsidRPr="00CE310D">
              <w:rPr>
                <w:rFonts w:asciiTheme="minorHAnsi" w:hAnsiTheme="minorHAnsi" w:cstheme="minorHAnsi"/>
                <w:sz w:val="20"/>
                <w:szCs w:val="20"/>
              </w:rPr>
              <w:t>FTTB</w:t>
            </w:r>
            <w:proofErr w:type="spellEnd"/>
            <w:r w:rsidRPr="00CE310D">
              <w:rPr>
                <w:rFonts w:asciiTheme="minorHAnsi" w:hAnsiTheme="minorHAnsi" w:cstheme="minorHAnsi"/>
                <w:sz w:val="20"/>
                <w:szCs w:val="20"/>
              </w:rPr>
              <w:t>/</w:t>
            </w:r>
            <w:proofErr w:type="spellStart"/>
            <w:r w:rsidRPr="00CE310D">
              <w:rPr>
                <w:rFonts w:asciiTheme="minorHAnsi" w:hAnsiTheme="minorHAnsi" w:cstheme="minorHAnsi"/>
                <w:sz w:val="20"/>
                <w:szCs w:val="20"/>
              </w:rPr>
              <w:t>FTTDP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DSLAM.FTTB</w:t>
            </w:r>
            <w:proofErr w:type="spellEnd"/>
            <w:r w:rsidRPr="00CE310D">
              <w:rPr>
                <w:rFonts w:asciiTheme="minorHAnsi" w:hAnsiTheme="minorHAnsi" w:cstheme="minorHAnsi"/>
                <w:sz w:val="20"/>
                <w:szCs w:val="20"/>
              </w:rPr>
              <w:t>/</w:t>
            </w:r>
            <w:proofErr w:type="spellStart"/>
            <w:r w:rsidRPr="00CE310D">
              <w:rPr>
                <w:rFonts w:asciiTheme="minorHAnsi" w:hAnsiTheme="minorHAnsi" w:cstheme="minorHAnsi"/>
                <w:sz w:val="20"/>
                <w:szCs w:val="20"/>
              </w:rPr>
              <w:t>FTTDP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DSLAM</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DSLAMs</w:t>
            </w:r>
            <w:proofErr w:type="spellEnd"/>
            <w:r w:rsidRPr="00CE310D">
              <w:rPr>
                <w:rFonts w:asciiTheme="minorHAnsi" w:hAnsiTheme="minorHAnsi" w:cstheme="minorHAnsi"/>
                <w:sz w:val="20"/>
                <w:szCs w:val="20"/>
              </w:rPr>
              <w:t xml:space="preserve">) iznosi 592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 xml:space="preserve">. Međutim, HT ističe kako je prosječna jedinična cijena u 2022. za navedene uređaje u mreži HT-a </w:t>
            </w:r>
            <w:r w:rsidRPr="00C14C99">
              <w:rPr>
                <w:rFonts w:asciiTheme="minorHAnsi" w:hAnsiTheme="minorHAnsi" w:cstheme="minorHAnsi"/>
                <w:sz w:val="20"/>
                <w:szCs w:val="20"/>
              </w:rPr>
              <w:t xml:space="preserve">iznosila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EUR</w:t>
            </w:r>
            <w:proofErr w:type="spellEnd"/>
            <w:r w:rsidRPr="00CE310D">
              <w:rPr>
                <w:rFonts w:asciiTheme="minorHAnsi" w:hAnsiTheme="minorHAnsi" w:cstheme="minorHAnsi"/>
                <w:sz w:val="20"/>
                <w:szCs w:val="20"/>
              </w:rPr>
              <w:t>, te stoga poziva HAKOM da navedeni podatak ažurira sukladno HT-ovim stvarnim troškovima u mreži.</w:t>
            </w:r>
          </w:p>
          <w:p w14:paraId="7B239623" w14:textId="4BCB31E5" w:rsidR="00132EA6" w:rsidRPr="00CE310D" w:rsidRDefault="00132EA6" w:rsidP="00132EA6">
            <w:pPr>
              <w:pStyle w:val="ListParagraph"/>
              <w:ind w:left="0"/>
              <w:jc w:val="both"/>
              <w:rPr>
                <w:rFonts w:asciiTheme="minorHAnsi" w:hAnsiTheme="minorHAnsi" w:cstheme="minorHAnsi"/>
                <w:sz w:val="20"/>
                <w:szCs w:val="20"/>
              </w:rPr>
            </w:pPr>
          </w:p>
          <w:p w14:paraId="1154708E" w14:textId="77777777" w:rsidR="00132EA6" w:rsidRPr="00CE310D" w:rsidRDefault="00132EA6" w:rsidP="00132EA6">
            <w:pPr>
              <w:pStyle w:val="ListParagraph"/>
              <w:numPr>
                <w:ilvl w:val="0"/>
                <w:numId w:val="9"/>
              </w:numPr>
              <w:jc w:val="both"/>
              <w:rPr>
                <w:rFonts w:asciiTheme="minorHAnsi" w:hAnsiTheme="minorHAnsi" w:cstheme="minorHAnsi"/>
                <w:sz w:val="20"/>
                <w:szCs w:val="20"/>
                <w:u w:val="single"/>
              </w:rPr>
            </w:pPr>
            <w:proofErr w:type="spellStart"/>
            <w:r w:rsidRPr="00CE310D">
              <w:rPr>
                <w:rFonts w:asciiTheme="minorHAnsi" w:hAnsiTheme="minorHAnsi" w:cstheme="minorHAnsi"/>
                <w:sz w:val="20"/>
                <w:szCs w:val="20"/>
                <w:u w:val="single"/>
              </w:rPr>
              <w:t>OPEX</w:t>
            </w:r>
            <w:proofErr w:type="spellEnd"/>
            <w:r w:rsidRPr="00CE310D">
              <w:rPr>
                <w:rFonts w:asciiTheme="minorHAnsi" w:hAnsiTheme="minorHAnsi" w:cstheme="minorHAnsi"/>
                <w:sz w:val="20"/>
                <w:szCs w:val="20"/>
                <w:u w:val="single"/>
              </w:rPr>
              <w:t xml:space="preserve"> troškovi</w:t>
            </w:r>
          </w:p>
          <w:p w14:paraId="6F6EAAFC" w14:textId="77777777" w:rsidR="00132EA6" w:rsidRPr="00CE310D" w:rsidRDefault="00132EA6" w:rsidP="00132EA6">
            <w:pPr>
              <w:jc w:val="both"/>
              <w:rPr>
                <w:rFonts w:asciiTheme="minorHAnsi" w:hAnsiTheme="minorHAnsi" w:cstheme="minorHAnsi"/>
                <w:sz w:val="20"/>
                <w:szCs w:val="20"/>
              </w:rPr>
            </w:pPr>
          </w:p>
          <w:p w14:paraId="03A2769E"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HT ističe kako je HAKOM značajno smanjio jedinične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troškove u odnosu na podatke dostavljene od strane HT-a, unatoč činjenici da su ti podaci predstavljali stvarne troškove koje je HT imao. Ovaj smanjeni prihvat podataka izaziva opravdanu zabrinutost u HT-u, s obzirom na da se radi o stvarnim operativnim troškovima koji su proizašli iz relevantnih i verificiranih izvora.</w:t>
            </w:r>
          </w:p>
          <w:p w14:paraId="0AAD42A0" w14:textId="77777777" w:rsidR="00132EA6" w:rsidRPr="00CE310D" w:rsidRDefault="00132EA6" w:rsidP="00132EA6">
            <w:pPr>
              <w:jc w:val="both"/>
              <w:rPr>
                <w:rFonts w:asciiTheme="minorHAnsi" w:hAnsiTheme="minorHAnsi" w:cstheme="minorHAnsi"/>
                <w:sz w:val="20"/>
                <w:szCs w:val="20"/>
              </w:rPr>
            </w:pPr>
          </w:p>
          <w:p w14:paraId="33E1A295" w14:textId="4F14D6A9"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HT posebno ističe kako je nejasno odakle HAKOM crpi svoje izvore podataka koji bi mogli opravdati takvo smanjenje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troškova. HT navodi da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troškovi obuhvaćaju razne aspekte operativnih troškova telekomunikacijskog operatora, uključujući troškove održavanja mreže, administracije, osoblja, energije i mnoge druge faktore. HT ističe kako je dostavio podatke koji su proizašli iz njihovih stvarnih poslovnih procesa i evidentiranih troškova. Stoga</w:t>
            </w:r>
            <w:r w:rsidR="002A3618" w:rsidRPr="00CE310D">
              <w:rPr>
                <w:rFonts w:asciiTheme="minorHAnsi" w:hAnsiTheme="minorHAnsi" w:cstheme="minorHAnsi"/>
                <w:sz w:val="20"/>
                <w:szCs w:val="20"/>
              </w:rPr>
              <w:t>,</w:t>
            </w:r>
            <w:r w:rsidRPr="00CE310D">
              <w:rPr>
                <w:rFonts w:asciiTheme="minorHAnsi" w:hAnsiTheme="minorHAnsi" w:cstheme="minorHAnsi"/>
                <w:sz w:val="20"/>
                <w:szCs w:val="20"/>
              </w:rPr>
              <w:t xml:space="preserve"> nejasno</w:t>
            </w:r>
            <w:r w:rsidR="002A3618" w:rsidRPr="00CE310D">
              <w:rPr>
                <w:rFonts w:asciiTheme="minorHAnsi" w:hAnsiTheme="minorHAnsi" w:cstheme="minorHAnsi"/>
                <w:sz w:val="20"/>
                <w:szCs w:val="20"/>
              </w:rPr>
              <w:t xml:space="preserve"> je</w:t>
            </w:r>
            <w:r w:rsidRPr="00CE310D">
              <w:rPr>
                <w:rFonts w:asciiTheme="minorHAnsi" w:hAnsiTheme="minorHAnsi" w:cstheme="minorHAnsi"/>
                <w:sz w:val="20"/>
                <w:szCs w:val="20"/>
              </w:rPr>
              <w:t xml:space="preserve"> kako su HAKOM-ovi izvori podataka doveli do ovako znatnog smanjenja troškova.</w:t>
            </w:r>
          </w:p>
          <w:p w14:paraId="7226F947" w14:textId="77777777" w:rsidR="00132EA6" w:rsidRPr="00CE310D" w:rsidRDefault="00132EA6" w:rsidP="00132EA6">
            <w:pPr>
              <w:jc w:val="both"/>
              <w:rPr>
                <w:rFonts w:asciiTheme="minorHAnsi" w:hAnsiTheme="minorHAnsi" w:cstheme="minorHAnsi"/>
                <w:sz w:val="20"/>
                <w:szCs w:val="20"/>
              </w:rPr>
            </w:pPr>
          </w:p>
          <w:p w14:paraId="5C36201D" w14:textId="5A4EA711"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Također, HT ističe kako je važno napomenuti da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trend koji je HAKOM primijenio ne odgovara stvarnim vrijednostima primjenjivim na hrvatskom tržištu. Naime, HT navodi da u telekomunikacijskom sektoru, operativni troškovi odražavaju stvarne izazove s kojima se operatori suočavaju na tržištu, kao što su održavanje kvalitete usluga, zapošljavanje visokokvalificiranog osoblja i udovoljavanje regulatornim zahtjevima. Stoga, HT smatra da smanjenje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troškova na način koji ne odražava stvarnost hrvatskog tržišta može imati ozbiljne posljedice za operat</w:t>
            </w:r>
            <w:r w:rsidR="00DF691B">
              <w:rPr>
                <w:rFonts w:asciiTheme="minorHAnsi" w:hAnsiTheme="minorHAnsi" w:cstheme="minorHAnsi"/>
                <w:sz w:val="20"/>
                <w:szCs w:val="20"/>
              </w:rPr>
              <w:t>o</w:t>
            </w:r>
            <w:r w:rsidRPr="00CE310D">
              <w:rPr>
                <w:rFonts w:asciiTheme="minorHAnsi" w:hAnsiTheme="minorHAnsi" w:cstheme="minorHAnsi"/>
                <w:sz w:val="20"/>
                <w:szCs w:val="20"/>
              </w:rPr>
              <w:t>re uključujući i efikasnog operatora i kvalitetu usluga koje pružaju korisnicima.</w:t>
            </w:r>
          </w:p>
          <w:p w14:paraId="237AD42D" w14:textId="77777777" w:rsidR="00132EA6" w:rsidRPr="00CE310D" w:rsidRDefault="00132EA6" w:rsidP="00132EA6">
            <w:pPr>
              <w:jc w:val="both"/>
              <w:rPr>
                <w:rFonts w:asciiTheme="minorHAnsi" w:hAnsiTheme="minorHAnsi" w:cstheme="minorHAnsi"/>
                <w:sz w:val="20"/>
                <w:szCs w:val="20"/>
              </w:rPr>
            </w:pPr>
          </w:p>
          <w:p w14:paraId="3A2A7B72" w14:textId="714E0F08"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Nadalje, HT ističe kako uspoređujući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trend koji je HAKOM primijenio u troškovnom modelu iz 2020. sa stvarnim podacima za isto razdoblje jasno se može zaključiti da trend ne odgovara vrijednostima primjenjivim na hrvatskom tržištu. </w:t>
            </w:r>
            <w:r w:rsidR="005D6902" w:rsidRPr="00CE310D">
              <w:rPr>
                <w:rFonts w:asciiTheme="minorHAnsi" w:hAnsiTheme="minorHAnsi" w:cstheme="minorHAnsi"/>
                <w:sz w:val="20"/>
                <w:szCs w:val="20"/>
              </w:rPr>
              <w:t>Naime, HT ističe da</w:t>
            </w:r>
            <w:r w:rsidR="00DF691B">
              <w:rPr>
                <w:rFonts w:asciiTheme="minorHAnsi" w:hAnsiTheme="minorHAnsi" w:cstheme="minorHAnsi"/>
                <w:sz w:val="20"/>
                <w:szCs w:val="20"/>
              </w:rPr>
              <w:t xml:space="preserve"> se</w:t>
            </w:r>
            <w:r w:rsidR="005D6902" w:rsidRPr="00CE310D">
              <w:rPr>
                <w:rFonts w:asciiTheme="minorHAnsi" w:hAnsiTheme="minorHAnsi" w:cstheme="minorHAnsi"/>
                <w:sz w:val="20"/>
                <w:szCs w:val="20"/>
              </w:rPr>
              <w:t xml:space="preserve"> osvrtom</w:t>
            </w:r>
            <w:r w:rsidRPr="00CE310D">
              <w:rPr>
                <w:rFonts w:asciiTheme="minorHAnsi" w:hAnsiTheme="minorHAnsi" w:cstheme="minorHAnsi"/>
                <w:sz w:val="20"/>
                <w:szCs w:val="20"/>
              </w:rPr>
              <w:t xml:space="preserve"> na povijesne podatke može</w:t>
            </w:r>
            <w:r w:rsidR="005D6902" w:rsidRPr="00CE310D">
              <w:rPr>
                <w:rFonts w:asciiTheme="minorHAnsi" w:hAnsiTheme="minorHAnsi" w:cstheme="minorHAnsi"/>
                <w:sz w:val="20"/>
                <w:szCs w:val="20"/>
              </w:rPr>
              <w:t xml:space="preserve"> </w:t>
            </w:r>
            <w:r w:rsidRPr="00CE310D">
              <w:rPr>
                <w:rFonts w:asciiTheme="minorHAnsi" w:hAnsiTheme="minorHAnsi" w:cstheme="minorHAnsi"/>
                <w:sz w:val="20"/>
                <w:szCs w:val="20"/>
              </w:rPr>
              <w:t>ustanoviti da inflacija u Hrvatskoj, koja je imala više vrijednosti baš u godinama za koje je važeći model računao veleprodajne cijene, nije ni na koji način uključena u izračun veleprodajnih cijena za razdoblje 2021.-2023</w:t>
            </w:r>
            <w:r w:rsidR="00DF691B">
              <w:rPr>
                <w:rFonts w:asciiTheme="minorHAnsi" w:hAnsiTheme="minorHAnsi" w:cstheme="minorHAnsi"/>
                <w:sz w:val="20"/>
                <w:szCs w:val="20"/>
              </w:rPr>
              <w:t>.</w:t>
            </w:r>
            <w:r w:rsidRPr="00CE310D">
              <w:rPr>
                <w:rFonts w:asciiTheme="minorHAnsi" w:hAnsiTheme="minorHAnsi" w:cstheme="minorHAnsi"/>
                <w:sz w:val="20"/>
                <w:szCs w:val="20"/>
              </w:rPr>
              <w:t xml:space="preserve"> (Tablica 1.).</w:t>
            </w:r>
          </w:p>
          <w:p w14:paraId="0ACE87A1" w14:textId="77777777" w:rsidR="00132EA6" w:rsidRPr="00CE310D" w:rsidRDefault="00132EA6" w:rsidP="00132EA6">
            <w:pPr>
              <w:jc w:val="both"/>
              <w:rPr>
                <w:rFonts w:asciiTheme="minorHAnsi" w:hAnsiTheme="minorHAnsi" w:cstheme="minorHAnsi"/>
                <w:sz w:val="20"/>
                <w:szCs w:val="20"/>
              </w:rPr>
            </w:pPr>
          </w:p>
          <w:p w14:paraId="3035DC58" w14:textId="77777777" w:rsidR="00132EA6" w:rsidRPr="00CE310D" w:rsidRDefault="00132EA6" w:rsidP="00132EA6">
            <w:pPr>
              <w:pStyle w:val="Caption"/>
              <w:keepNext/>
              <w:rPr>
                <w:rFonts w:asciiTheme="minorHAnsi" w:hAnsiTheme="minorHAnsi" w:cstheme="minorHAnsi"/>
              </w:rPr>
            </w:pPr>
            <w:r w:rsidRPr="00CE310D">
              <w:rPr>
                <w:rFonts w:asciiTheme="minorHAnsi" w:hAnsiTheme="minorHAnsi" w:cstheme="minorHAnsi"/>
              </w:rPr>
              <w:t xml:space="preserve">                Tablica </w:t>
            </w:r>
            <w:r w:rsidR="00D137DE" w:rsidRPr="00CE310D">
              <w:rPr>
                <w:rFonts w:asciiTheme="minorHAnsi" w:hAnsiTheme="minorHAnsi" w:cstheme="minorHAnsi"/>
              </w:rPr>
              <w:fldChar w:fldCharType="begin"/>
            </w:r>
            <w:r w:rsidR="00D137DE" w:rsidRPr="00CE310D">
              <w:rPr>
                <w:rFonts w:asciiTheme="minorHAnsi" w:hAnsiTheme="minorHAnsi" w:cstheme="minorHAnsi"/>
              </w:rPr>
              <w:instrText xml:space="preserve"> SEQ Tablica \* ARABIC </w:instrText>
            </w:r>
            <w:r w:rsidR="00D137DE" w:rsidRPr="00CE310D">
              <w:rPr>
                <w:rFonts w:asciiTheme="minorHAnsi" w:hAnsiTheme="minorHAnsi" w:cstheme="minorHAnsi"/>
              </w:rPr>
              <w:fldChar w:fldCharType="separate"/>
            </w:r>
            <w:r w:rsidRPr="00CE310D">
              <w:rPr>
                <w:rFonts w:asciiTheme="minorHAnsi" w:hAnsiTheme="minorHAnsi" w:cstheme="minorHAnsi"/>
                <w:noProof/>
              </w:rPr>
              <w:t>2</w:t>
            </w:r>
            <w:r w:rsidR="00D137DE" w:rsidRPr="00CE310D">
              <w:rPr>
                <w:rFonts w:asciiTheme="minorHAnsi" w:hAnsiTheme="minorHAnsi" w:cstheme="minorHAnsi"/>
                <w:noProof/>
              </w:rPr>
              <w:fldChar w:fldCharType="end"/>
            </w:r>
            <w:r w:rsidRPr="00CE310D">
              <w:rPr>
                <w:rFonts w:asciiTheme="minorHAnsi" w:hAnsiTheme="minorHAnsi" w:cstheme="minorHAnsi"/>
              </w:rPr>
              <w:t>- Postotne vrijednosti inflacije u Hrvatskoj 2021.-2023.</w:t>
            </w:r>
          </w:p>
          <w:tbl>
            <w:tblPr>
              <w:tblW w:w="4970" w:type="dxa"/>
              <w:jc w:val="center"/>
              <w:tblLayout w:type="fixed"/>
              <w:tblLook w:val="04A0" w:firstRow="1" w:lastRow="0" w:firstColumn="1" w:lastColumn="0" w:noHBand="0" w:noVBand="1"/>
            </w:tblPr>
            <w:tblGrid>
              <w:gridCol w:w="1413"/>
              <w:gridCol w:w="810"/>
              <w:gridCol w:w="860"/>
              <w:gridCol w:w="1887"/>
            </w:tblGrid>
            <w:tr w:rsidR="00132EA6" w:rsidRPr="00CE310D" w14:paraId="6BDF9DF2" w14:textId="77777777" w:rsidTr="00F737D6">
              <w:trPr>
                <w:trHeight w:val="12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DFEE"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Godina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F657DA3"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Model 2020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3919754"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Stvarni podaci</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367456F"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Izvor</w:t>
                  </w:r>
                </w:p>
              </w:tc>
            </w:tr>
            <w:tr w:rsidR="00132EA6" w:rsidRPr="00CE310D" w14:paraId="51E2123A" w14:textId="77777777" w:rsidTr="00F737D6">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BB38F5"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2021</w:t>
                  </w:r>
                </w:p>
              </w:tc>
              <w:tc>
                <w:tcPr>
                  <w:tcW w:w="810" w:type="dxa"/>
                  <w:tcBorders>
                    <w:top w:val="nil"/>
                    <w:left w:val="nil"/>
                    <w:bottom w:val="single" w:sz="4" w:space="0" w:color="auto"/>
                    <w:right w:val="single" w:sz="4" w:space="0" w:color="auto"/>
                  </w:tcBorders>
                  <w:shd w:val="clear" w:color="auto" w:fill="auto"/>
                  <w:noWrap/>
                  <w:vAlign w:val="bottom"/>
                  <w:hideMark/>
                </w:tcPr>
                <w:p w14:paraId="35850C82"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1,7</w:t>
                  </w:r>
                </w:p>
              </w:tc>
              <w:tc>
                <w:tcPr>
                  <w:tcW w:w="860" w:type="dxa"/>
                  <w:tcBorders>
                    <w:top w:val="nil"/>
                    <w:left w:val="nil"/>
                    <w:bottom w:val="single" w:sz="4" w:space="0" w:color="auto"/>
                    <w:right w:val="single" w:sz="4" w:space="0" w:color="auto"/>
                  </w:tcBorders>
                  <w:shd w:val="clear" w:color="auto" w:fill="auto"/>
                  <w:noWrap/>
                  <w:vAlign w:val="bottom"/>
                  <w:hideMark/>
                </w:tcPr>
                <w:p w14:paraId="4C3DBAA8"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5,5</w:t>
                  </w:r>
                </w:p>
              </w:tc>
              <w:tc>
                <w:tcPr>
                  <w:tcW w:w="1887" w:type="dxa"/>
                  <w:tcBorders>
                    <w:top w:val="nil"/>
                    <w:left w:val="nil"/>
                    <w:bottom w:val="single" w:sz="4" w:space="0" w:color="auto"/>
                    <w:right w:val="single" w:sz="4" w:space="0" w:color="auto"/>
                  </w:tcBorders>
                  <w:shd w:val="clear" w:color="auto" w:fill="auto"/>
                  <w:noWrap/>
                  <w:vAlign w:val="bottom"/>
                  <w:hideMark/>
                </w:tcPr>
                <w:p w14:paraId="772E9A4A" w14:textId="77777777" w:rsidR="00132EA6" w:rsidRPr="00CE310D" w:rsidRDefault="00132EA6" w:rsidP="00132EA6">
                  <w:pPr>
                    <w:jc w:val="both"/>
                    <w:rPr>
                      <w:rFonts w:asciiTheme="minorHAnsi" w:hAnsiTheme="minorHAnsi" w:cstheme="minorHAnsi"/>
                      <w:color w:val="000000"/>
                      <w:sz w:val="20"/>
                      <w:szCs w:val="20"/>
                    </w:rPr>
                  </w:pPr>
                  <w:proofErr w:type="spellStart"/>
                  <w:r w:rsidRPr="00CE310D">
                    <w:rPr>
                      <w:rFonts w:asciiTheme="minorHAnsi" w:hAnsiTheme="minorHAnsi" w:cstheme="minorHAnsi"/>
                      <w:color w:val="000000"/>
                      <w:sz w:val="20"/>
                      <w:szCs w:val="20"/>
                    </w:rPr>
                    <w:t>DZS</w:t>
                  </w:r>
                  <w:proofErr w:type="spellEnd"/>
                </w:p>
              </w:tc>
            </w:tr>
            <w:tr w:rsidR="00132EA6" w:rsidRPr="00CE310D" w14:paraId="749B4053" w14:textId="77777777" w:rsidTr="00F737D6">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E212F6"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2022</w:t>
                  </w:r>
                </w:p>
              </w:tc>
              <w:tc>
                <w:tcPr>
                  <w:tcW w:w="810" w:type="dxa"/>
                  <w:tcBorders>
                    <w:top w:val="nil"/>
                    <w:left w:val="nil"/>
                    <w:bottom w:val="single" w:sz="4" w:space="0" w:color="auto"/>
                    <w:right w:val="single" w:sz="4" w:space="0" w:color="auto"/>
                  </w:tcBorders>
                  <w:shd w:val="clear" w:color="auto" w:fill="auto"/>
                  <w:noWrap/>
                  <w:vAlign w:val="bottom"/>
                  <w:hideMark/>
                </w:tcPr>
                <w:p w14:paraId="43FE43AE"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1,38</w:t>
                  </w:r>
                </w:p>
              </w:tc>
              <w:tc>
                <w:tcPr>
                  <w:tcW w:w="860" w:type="dxa"/>
                  <w:tcBorders>
                    <w:top w:val="nil"/>
                    <w:left w:val="nil"/>
                    <w:bottom w:val="single" w:sz="4" w:space="0" w:color="auto"/>
                    <w:right w:val="single" w:sz="4" w:space="0" w:color="auto"/>
                  </w:tcBorders>
                  <w:shd w:val="clear" w:color="auto" w:fill="auto"/>
                  <w:noWrap/>
                  <w:vAlign w:val="bottom"/>
                  <w:hideMark/>
                </w:tcPr>
                <w:p w14:paraId="0C773BA9"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13,1</w:t>
                  </w:r>
                </w:p>
              </w:tc>
              <w:tc>
                <w:tcPr>
                  <w:tcW w:w="1887" w:type="dxa"/>
                  <w:tcBorders>
                    <w:top w:val="nil"/>
                    <w:left w:val="nil"/>
                    <w:bottom w:val="single" w:sz="4" w:space="0" w:color="auto"/>
                    <w:right w:val="single" w:sz="4" w:space="0" w:color="auto"/>
                  </w:tcBorders>
                  <w:shd w:val="clear" w:color="auto" w:fill="auto"/>
                  <w:noWrap/>
                  <w:vAlign w:val="bottom"/>
                  <w:hideMark/>
                </w:tcPr>
                <w:p w14:paraId="553886E1" w14:textId="77777777" w:rsidR="00132EA6" w:rsidRPr="00CE310D" w:rsidRDefault="00132EA6" w:rsidP="00132EA6">
                  <w:pPr>
                    <w:jc w:val="both"/>
                    <w:rPr>
                      <w:rFonts w:asciiTheme="minorHAnsi" w:hAnsiTheme="minorHAnsi" w:cstheme="minorHAnsi"/>
                      <w:color w:val="000000"/>
                      <w:sz w:val="20"/>
                      <w:szCs w:val="20"/>
                    </w:rPr>
                  </w:pPr>
                  <w:proofErr w:type="spellStart"/>
                  <w:r w:rsidRPr="00CE310D">
                    <w:rPr>
                      <w:rFonts w:asciiTheme="minorHAnsi" w:hAnsiTheme="minorHAnsi" w:cstheme="minorHAnsi"/>
                      <w:color w:val="000000"/>
                      <w:sz w:val="20"/>
                      <w:szCs w:val="20"/>
                    </w:rPr>
                    <w:t>DZS</w:t>
                  </w:r>
                  <w:proofErr w:type="spellEnd"/>
                </w:p>
              </w:tc>
            </w:tr>
            <w:tr w:rsidR="00132EA6" w:rsidRPr="00CE310D" w14:paraId="75CF9661" w14:textId="77777777" w:rsidTr="00F737D6">
              <w:trPr>
                <w:trHeight w:val="56"/>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A126"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2023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3D5DEFC"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1,38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ED83B85"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8,8</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704338"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HNB procjena</w:t>
                  </w:r>
                </w:p>
              </w:tc>
            </w:tr>
          </w:tbl>
          <w:p w14:paraId="37C8FBAD" w14:textId="77777777" w:rsidR="00132EA6" w:rsidRPr="00CE310D" w:rsidRDefault="00132EA6" w:rsidP="00132EA6">
            <w:pPr>
              <w:jc w:val="both"/>
              <w:rPr>
                <w:rFonts w:asciiTheme="minorHAnsi" w:hAnsiTheme="minorHAnsi" w:cstheme="minorHAnsi"/>
                <w:sz w:val="20"/>
                <w:szCs w:val="20"/>
              </w:rPr>
            </w:pPr>
          </w:p>
          <w:p w14:paraId="346C002D" w14:textId="5AA38F7B"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 xml:space="preserve">HT ističe da podaci (tablica 2) jasno pokazuju da se događaji u razdoblju od 2021. do 2023. nisu mogli predvidjeti unaprijed, ali što je važnije, nisu bili odraženi u izračunima veleprodajnih cijena. To izravno utječe na sposobnost HT-a da pokrije svoje troškove, </w:t>
            </w:r>
            <w:r w:rsidRPr="00CE310D">
              <w:rPr>
                <w:rFonts w:asciiTheme="minorHAnsi" w:hAnsiTheme="minorHAnsi" w:cstheme="minorHAnsi"/>
                <w:sz w:val="20"/>
                <w:szCs w:val="20"/>
              </w:rPr>
              <w:lastRenderedPageBreak/>
              <w:t xml:space="preserve">s obzirom na </w:t>
            </w:r>
            <w:r w:rsidR="00DF691B">
              <w:rPr>
                <w:rFonts w:asciiTheme="minorHAnsi" w:hAnsiTheme="minorHAnsi" w:cstheme="minorHAnsi"/>
                <w:sz w:val="20"/>
                <w:szCs w:val="20"/>
              </w:rPr>
              <w:t xml:space="preserve">to </w:t>
            </w:r>
            <w:r w:rsidRPr="00CE310D">
              <w:rPr>
                <w:rFonts w:asciiTheme="minorHAnsi" w:hAnsiTheme="minorHAnsi" w:cstheme="minorHAnsi"/>
                <w:sz w:val="20"/>
                <w:szCs w:val="20"/>
              </w:rPr>
              <w:t xml:space="preserve">da su inflacijski efekti izostavljeni iz troškova. Osim toga, HT </w:t>
            </w:r>
            <w:r w:rsidR="00DF691B">
              <w:rPr>
                <w:rFonts w:asciiTheme="minorHAnsi" w:hAnsiTheme="minorHAnsi" w:cstheme="minorHAnsi"/>
                <w:sz w:val="20"/>
                <w:szCs w:val="20"/>
              </w:rPr>
              <w:t>napominje</w:t>
            </w:r>
            <w:r w:rsidRPr="00CE310D">
              <w:rPr>
                <w:rFonts w:asciiTheme="minorHAnsi" w:hAnsiTheme="minorHAnsi" w:cstheme="minorHAnsi"/>
                <w:sz w:val="20"/>
                <w:szCs w:val="20"/>
              </w:rPr>
              <w:t xml:space="preserve"> da HAKOM nije uključio efekte inflacije ni kroz stopu povrata na kapital, što dodatno komplicira situaciju i stvara nepotrebni teret za HT.</w:t>
            </w:r>
          </w:p>
          <w:p w14:paraId="3FCD4CC1" w14:textId="2B627B11" w:rsidR="00132EA6" w:rsidRPr="00CE310D" w:rsidRDefault="00132EA6" w:rsidP="00132EA6">
            <w:pPr>
              <w:jc w:val="both"/>
              <w:rPr>
                <w:rFonts w:asciiTheme="minorHAnsi" w:hAnsiTheme="minorHAnsi" w:cstheme="minorHAnsi"/>
                <w:sz w:val="20"/>
                <w:szCs w:val="20"/>
              </w:rPr>
            </w:pPr>
          </w:p>
          <w:p w14:paraId="3DB9AEF1" w14:textId="0857AA26"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Analizirajući predviđanja (tablica 3), HT zaključuje da ni u ažuriranom modelu nisu uzeti u obzir utjecaji inflatornih poremećaja koji su se poč</w:t>
            </w:r>
            <w:r w:rsidR="00A24325" w:rsidRPr="00CE310D">
              <w:rPr>
                <w:rFonts w:asciiTheme="minorHAnsi" w:hAnsiTheme="minorHAnsi" w:cstheme="minorHAnsi"/>
                <w:sz w:val="20"/>
                <w:szCs w:val="20"/>
              </w:rPr>
              <w:t>eli pojavljivati od 2021</w:t>
            </w:r>
            <w:r w:rsidRPr="00CE310D">
              <w:rPr>
                <w:rFonts w:asciiTheme="minorHAnsi" w:hAnsiTheme="minorHAnsi" w:cstheme="minorHAnsi"/>
                <w:sz w:val="20"/>
                <w:szCs w:val="20"/>
              </w:rPr>
              <w:t>. Također, HT navodi kako HNB predviđa da će se ti poremećaji odraziti na razdoblje za koje će HAKOM određivati nove cijene. Odsutnost ovih inflacijskih čimbenika u izračunima može dovesti do nepreciznih i nerealnih troškovnih procjena za buduće godine.</w:t>
            </w:r>
          </w:p>
          <w:p w14:paraId="2541E8E1" w14:textId="7D4578FF" w:rsidR="00132EA6" w:rsidRPr="00CE310D" w:rsidRDefault="00132EA6" w:rsidP="00132EA6">
            <w:pPr>
              <w:jc w:val="both"/>
              <w:rPr>
                <w:rFonts w:asciiTheme="minorHAnsi" w:hAnsiTheme="minorHAnsi" w:cstheme="minorHAnsi"/>
                <w:sz w:val="20"/>
                <w:szCs w:val="20"/>
              </w:rPr>
            </w:pPr>
          </w:p>
          <w:p w14:paraId="1E732B24" w14:textId="560614BB" w:rsidR="00132EA6" w:rsidRPr="00CE310D" w:rsidRDefault="00132EA6" w:rsidP="00132EA6">
            <w:pPr>
              <w:pStyle w:val="Caption"/>
              <w:keepNext/>
              <w:rPr>
                <w:rFonts w:asciiTheme="minorHAnsi" w:hAnsiTheme="minorHAnsi" w:cstheme="minorHAnsi"/>
              </w:rPr>
            </w:pPr>
            <w:r w:rsidRPr="00CE310D">
              <w:rPr>
                <w:rFonts w:asciiTheme="minorHAnsi" w:hAnsiTheme="minorHAnsi" w:cstheme="minorHAnsi"/>
                <w:i w:val="0"/>
                <w:iCs w:val="0"/>
                <w:color w:val="auto"/>
                <w:sz w:val="20"/>
                <w:szCs w:val="20"/>
              </w:rPr>
              <w:t xml:space="preserve">         </w:t>
            </w:r>
            <w:r w:rsidRPr="00CE310D">
              <w:rPr>
                <w:rFonts w:asciiTheme="minorHAnsi" w:hAnsiTheme="minorHAnsi" w:cstheme="minorHAnsi"/>
              </w:rPr>
              <w:t xml:space="preserve">Tablica </w:t>
            </w:r>
            <w:r w:rsidR="00D137DE" w:rsidRPr="00CE310D">
              <w:rPr>
                <w:rFonts w:asciiTheme="minorHAnsi" w:hAnsiTheme="minorHAnsi" w:cstheme="minorHAnsi"/>
              </w:rPr>
              <w:fldChar w:fldCharType="begin"/>
            </w:r>
            <w:r w:rsidR="00D137DE" w:rsidRPr="00CE310D">
              <w:rPr>
                <w:rFonts w:asciiTheme="minorHAnsi" w:hAnsiTheme="minorHAnsi" w:cstheme="minorHAnsi"/>
              </w:rPr>
              <w:instrText xml:space="preserve"> SEQ Tablica \* ARABIC </w:instrText>
            </w:r>
            <w:r w:rsidR="00D137DE" w:rsidRPr="00CE310D">
              <w:rPr>
                <w:rFonts w:asciiTheme="minorHAnsi" w:hAnsiTheme="minorHAnsi" w:cstheme="minorHAnsi"/>
              </w:rPr>
              <w:fldChar w:fldCharType="separate"/>
            </w:r>
            <w:r w:rsidRPr="00CE310D">
              <w:rPr>
                <w:rFonts w:asciiTheme="minorHAnsi" w:hAnsiTheme="minorHAnsi" w:cstheme="minorHAnsi"/>
                <w:noProof/>
              </w:rPr>
              <w:t>3</w:t>
            </w:r>
            <w:r w:rsidR="00D137DE" w:rsidRPr="00CE310D">
              <w:rPr>
                <w:rFonts w:asciiTheme="minorHAnsi" w:hAnsiTheme="minorHAnsi" w:cstheme="minorHAnsi"/>
                <w:noProof/>
              </w:rPr>
              <w:fldChar w:fldCharType="end"/>
            </w:r>
            <w:r w:rsidRPr="00CE310D">
              <w:rPr>
                <w:rFonts w:asciiTheme="minorHAnsi" w:hAnsiTheme="minorHAnsi" w:cstheme="minorHAnsi"/>
              </w:rPr>
              <w:t>- Postotne vrijednosti inflacije u Hrvatskoj – predviđanja 2024.-2026.</w:t>
            </w:r>
          </w:p>
          <w:tbl>
            <w:tblPr>
              <w:tblW w:w="4579" w:type="dxa"/>
              <w:jc w:val="center"/>
              <w:tblLayout w:type="fixed"/>
              <w:tblLook w:val="04A0" w:firstRow="1" w:lastRow="0" w:firstColumn="1" w:lastColumn="0" w:noHBand="0" w:noVBand="1"/>
            </w:tblPr>
            <w:tblGrid>
              <w:gridCol w:w="1309"/>
              <w:gridCol w:w="1090"/>
              <w:gridCol w:w="1090"/>
              <w:gridCol w:w="1090"/>
            </w:tblGrid>
            <w:tr w:rsidR="00132EA6" w:rsidRPr="00CE310D" w14:paraId="4DE5B238" w14:textId="77777777" w:rsidTr="00A24325">
              <w:trPr>
                <w:trHeight w:val="859"/>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C7E3"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Godina</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26E33811"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Model 2023</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75EAAD87"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Predviđanja</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47100D94" w14:textId="77777777" w:rsidR="00132EA6" w:rsidRPr="00CE310D" w:rsidRDefault="00132EA6" w:rsidP="00132EA6">
                  <w:pPr>
                    <w:jc w:val="both"/>
                    <w:rPr>
                      <w:rFonts w:asciiTheme="minorHAnsi" w:hAnsiTheme="minorHAnsi" w:cstheme="minorHAnsi"/>
                      <w:b/>
                      <w:bCs/>
                      <w:color w:val="000000"/>
                      <w:sz w:val="20"/>
                      <w:szCs w:val="20"/>
                    </w:rPr>
                  </w:pPr>
                  <w:r w:rsidRPr="00CE310D">
                    <w:rPr>
                      <w:rFonts w:asciiTheme="minorHAnsi" w:hAnsiTheme="minorHAnsi" w:cstheme="minorHAnsi"/>
                      <w:b/>
                      <w:bCs/>
                      <w:color w:val="000000"/>
                      <w:sz w:val="20"/>
                      <w:szCs w:val="20"/>
                    </w:rPr>
                    <w:t>Izvor</w:t>
                  </w:r>
                </w:p>
              </w:tc>
            </w:tr>
            <w:tr w:rsidR="00132EA6" w:rsidRPr="00CE310D" w14:paraId="1A6F545B" w14:textId="77777777" w:rsidTr="00A24325">
              <w:trPr>
                <w:trHeight w:val="214"/>
                <w:jc w:val="center"/>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7FF2E4CF"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2024</w:t>
                  </w:r>
                </w:p>
              </w:tc>
              <w:tc>
                <w:tcPr>
                  <w:tcW w:w="1090" w:type="dxa"/>
                  <w:tcBorders>
                    <w:top w:val="nil"/>
                    <w:left w:val="nil"/>
                    <w:bottom w:val="single" w:sz="4" w:space="0" w:color="auto"/>
                    <w:right w:val="single" w:sz="4" w:space="0" w:color="auto"/>
                  </w:tcBorders>
                  <w:shd w:val="clear" w:color="auto" w:fill="auto"/>
                  <w:noWrap/>
                  <w:vAlign w:val="bottom"/>
                  <w:hideMark/>
                </w:tcPr>
                <w:p w14:paraId="2440CA91"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2,2</w:t>
                  </w:r>
                </w:p>
              </w:tc>
              <w:tc>
                <w:tcPr>
                  <w:tcW w:w="1090" w:type="dxa"/>
                  <w:tcBorders>
                    <w:top w:val="nil"/>
                    <w:left w:val="nil"/>
                    <w:bottom w:val="single" w:sz="4" w:space="0" w:color="auto"/>
                    <w:right w:val="single" w:sz="4" w:space="0" w:color="auto"/>
                  </w:tcBorders>
                  <w:shd w:val="clear" w:color="auto" w:fill="auto"/>
                  <w:noWrap/>
                  <w:vAlign w:val="bottom"/>
                  <w:hideMark/>
                </w:tcPr>
                <w:p w14:paraId="64A7EFC5"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4,7</w:t>
                  </w:r>
                </w:p>
              </w:tc>
              <w:tc>
                <w:tcPr>
                  <w:tcW w:w="1090" w:type="dxa"/>
                  <w:tcBorders>
                    <w:top w:val="nil"/>
                    <w:left w:val="nil"/>
                    <w:bottom w:val="single" w:sz="4" w:space="0" w:color="auto"/>
                    <w:right w:val="single" w:sz="4" w:space="0" w:color="auto"/>
                  </w:tcBorders>
                  <w:shd w:val="clear" w:color="auto" w:fill="auto"/>
                  <w:noWrap/>
                  <w:vAlign w:val="bottom"/>
                  <w:hideMark/>
                </w:tcPr>
                <w:p w14:paraId="19A64344"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HNB procjena</w:t>
                  </w:r>
                </w:p>
              </w:tc>
            </w:tr>
            <w:tr w:rsidR="00132EA6" w:rsidRPr="00CE310D" w14:paraId="73475727" w14:textId="77777777" w:rsidTr="00A24325">
              <w:trPr>
                <w:trHeight w:val="214"/>
                <w:jc w:val="center"/>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3C03F9EE"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2025</w:t>
                  </w:r>
                </w:p>
              </w:tc>
              <w:tc>
                <w:tcPr>
                  <w:tcW w:w="1090" w:type="dxa"/>
                  <w:tcBorders>
                    <w:top w:val="nil"/>
                    <w:left w:val="nil"/>
                    <w:bottom w:val="single" w:sz="4" w:space="0" w:color="auto"/>
                    <w:right w:val="single" w:sz="4" w:space="0" w:color="auto"/>
                  </w:tcBorders>
                  <w:shd w:val="clear" w:color="auto" w:fill="auto"/>
                  <w:noWrap/>
                  <w:vAlign w:val="bottom"/>
                  <w:hideMark/>
                </w:tcPr>
                <w:p w14:paraId="7F97F540"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2,2</w:t>
                  </w:r>
                </w:p>
              </w:tc>
              <w:tc>
                <w:tcPr>
                  <w:tcW w:w="1090" w:type="dxa"/>
                  <w:tcBorders>
                    <w:top w:val="nil"/>
                    <w:left w:val="nil"/>
                    <w:bottom w:val="single" w:sz="4" w:space="0" w:color="auto"/>
                    <w:right w:val="single" w:sz="4" w:space="0" w:color="auto"/>
                  </w:tcBorders>
                  <w:shd w:val="clear" w:color="auto" w:fill="auto"/>
                  <w:noWrap/>
                  <w:vAlign w:val="bottom"/>
                  <w:hideMark/>
                </w:tcPr>
                <w:p w14:paraId="03A897A2"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2,9</w:t>
                  </w:r>
                </w:p>
              </w:tc>
              <w:tc>
                <w:tcPr>
                  <w:tcW w:w="1090" w:type="dxa"/>
                  <w:tcBorders>
                    <w:top w:val="nil"/>
                    <w:left w:val="nil"/>
                    <w:bottom w:val="single" w:sz="4" w:space="0" w:color="auto"/>
                    <w:right w:val="single" w:sz="4" w:space="0" w:color="auto"/>
                  </w:tcBorders>
                  <w:shd w:val="clear" w:color="auto" w:fill="auto"/>
                  <w:noWrap/>
                  <w:vAlign w:val="bottom"/>
                  <w:hideMark/>
                </w:tcPr>
                <w:p w14:paraId="75CDCD3B"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HNB procjena</w:t>
                  </w:r>
                </w:p>
              </w:tc>
            </w:tr>
            <w:tr w:rsidR="00132EA6" w:rsidRPr="00CE310D" w14:paraId="52B20BB5" w14:textId="77777777" w:rsidTr="00A24325">
              <w:trPr>
                <w:trHeight w:val="40"/>
                <w:jc w:val="center"/>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12E763CA"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2026</w:t>
                  </w:r>
                </w:p>
              </w:tc>
              <w:tc>
                <w:tcPr>
                  <w:tcW w:w="1090" w:type="dxa"/>
                  <w:tcBorders>
                    <w:top w:val="nil"/>
                    <w:left w:val="nil"/>
                    <w:bottom w:val="single" w:sz="4" w:space="0" w:color="auto"/>
                    <w:right w:val="single" w:sz="4" w:space="0" w:color="auto"/>
                  </w:tcBorders>
                  <w:shd w:val="clear" w:color="auto" w:fill="auto"/>
                  <w:noWrap/>
                  <w:vAlign w:val="bottom"/>
                  <w:hideMark/>
                </w:tcPr>
                <w:p w14:paraId="51EBF028" w14:textId="77777777" w:rsidR="00132EA6" w:rsidRPr="00CE310D" w:rsidRDefault="00132EA6" w:rsidP="00132EA6">
                  <w:pPr>
                    <w:jc w:val="both"/>
                    <w:rPr>
                      <w:rFonts w:asciiTheme="minorHAnsi" w:hAnsiTheme="minorHAnsi" w:cstheme="minorHAnsi"/>
                      <w:color w:val="000000"/>
                      <w:sz w:val="20"/>
                      <w:szCs w:val="20"/>
                    </w:rPr>
                  </w:pPr>
                  <w:r w:rsidRPr="00CE310D">
                    <w:rPr>
                      <w:rFonts w:asciiTheme="minorHAnsi" w:hAnsiTheme="minorHAnsi" w:cstheme="minorHAnsi"/>
                      <w:color w:val="000000"/>
                      <w:sz w:val="20"/>
                      <w:szCs w:val="20"/>
                    </w:rPr>
                    <w:t>2,2</w:t>
                  </w:r>
                </w:p>
              </w:tc>
              <w:tc>
                <w:tcPr>
                  <w:tcW w:w="1090" w:type="dxa"/>
                  <w:tcBorders>
                    <w:top w:val="nil"/>
                    <w:left w:val="nil"/>
                    <w:bottom w:val="single" w:sz="4" w:space="0" w:color="auto"/>
                    <w:right w:val="single" w:sz="4" w:space="0" w:color="auto"/>
                  </w:tcBorders>
                  <w:shd w:val="clear" w:color="auto" w:fill="auto"/>
                  <w:noWrap/>
                  <w:vAlign w:val="bottom"/>
                  <w:hideMark/>
                </w:tcPr>
                <w:p w14:paraId="63691C13" w14:textId="77777777" w:rsidR="00132EA6" w:rsidRPr="00CE310D" w:rsidRDefault="00132EA6" w:rsidP="00132EA6">
                  <w:pPr>
                    <w:jc w:val="both"/>
                    <w:rPr>
                      <w:rFonts w:asciiTheme="minorHAnsi" w:hAnsiTheme="minorHAnsi" w:cstheme="minorHAnsi"/>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14:paraId="5266F42C" w14:textId="77777777" w:rsidR="00132EA6" w:rsidRPr="00CE310D" w:rsidRDefault="00132EA6" w:rsidP="00132EA6">
                  <w:pPr>
                    <w:jc w:val="both"/>
                    <w:rPr>
                      <w:rFonts w:asciiTheme="minorHAnsi" w:hAnsiTheme="minorHAnsi" w:cstheme="minorHAnsi"/>
                      <w:color w:val="000000"/>
                      <w:sz w:val="20"/>
                      <w:szCs w:val="20"/>
                    </w:rPr>
                  </w:pPr>
                </w:p>
              </w:tc>
            </w:tr>
          </w:tbl>
          <w:p w14:paraId="7E0F9F4C" w14:textId="25E210A1" w:rsidR="00132EA6" w:rsidRPr="00CE310D" w:rsidRDefault="00132EA6" w:rsidP="00132EA6">
            <w:pPr>
              <w:jc w:val="both"/>
              <w:rPr>
                <w:rFonts w:asciiTheme="minorHAnsi" w:hAnsiTheme="minorHAnsi" w:cstheme="minorHAnsi"/>
                <w:sz w:val="20"/>
                <w:szCs w:val="20"/>
              </w:rPr>
            </w:pPr>
          </w:p>
          <w:p w14:paraId="385F3559" w14:textId="2C18E980"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HT navodi da u trenutnom troškovnom modelu</w:t>
            </w:r>
            <w:r w:rsidR="00D62D1B" w:rsidRPr="00CE310D">
              <w:rPr>
                <w:rFonts w:asciiTheme="minorHAnsi" w:hAnsiTheme="minorHAnsi" w:cstheme="minorHAnsi"/>
                <w:sz w:val="20"/>
                <w:szCs w:val="20"/>
              </w:rPr>
              <w:t>,</w:t>
            </w:r>
            <w:r w:rsidRPr="00CE310D">
              <w:rPr>
                <w:rFonts w:asciiTheme="minorHAnsi" w:hAnsiTheme="minorHAnsi" w:cstheme="minorHAnsi"/>
                <w:sz w:val="20"/>
                <w:szCs w:val="20"/>
              </w:rPr>
              <w:t xml:space="preserve"> HAKOM mijenja princip izračuna trenda stope </w:t>
            </w:r>
            <w:r w:rsidR="00D62D1B" w:rsidRPr="00CE310D">
              <w:rPr>
                <w:rFonts w:asciiTheme="minorHAnsi" w:hAnsiTheme="minorHAnsi" w:cstheme="minorHAnsi"/>
                <w:sz w:val="20"/>
                <w:szCs w:val="20"/>
              </w:rPr>
              <w:t>koju primjenjuje za period 2024</w:t>
            </w:r>
            <w:r w:rsidR="00D137DE">
              <w:rPr>
                <w:rFonts w:asciiTheme="minorHAnsi" w:hAnsiTheme="minorHAnsi" w:cstheme="minorHAnsi"/>
                <w:sz w:val="20"/>
                <w:szCs w:val="20"/>
              </w:rPr>
              <w:t>.</w:t>
            </w:r>
            <w:r w:rsidRPr="00CE310D">
              <w:rPr>
                <w:rFonts w:asciiTheme="minorHAnsi" w:hAnsiTheme="minorHAnsi" w:cstheme="minorHAnsi"/>
                <w:sz w:val="20"/>
                <w:szCs w:val="20"/>
              </w:rPr>
              <w:t xml:space="preserve"> do 2026</w:t>
            </w:r>
            <w:r w:rsidR="00D137DE">
              <w:rPr>
                <w:rFonts w:asciiTheme="minorHAnsi" w:hAnsiTheme="minorHAnsi" w:cstheme="minorHAnsi"/>
                <w:sz w:val="20"/>
                <w:szCs w:val="20"/>
              </w:rPr>
              <w:t>.</w:t>
            </w:r>
            <w:r w:rsidRPr="00CE310D">
              <w:rPr>
                <w:rFonts w:asciiTheme="minorHAnsi" w:hAnsiTheme="minorHAnsi" w:cstheme="minorHAnsi"/>
                <w:sz w:val="20"/>
                <w:szCs w:val="20"/>
              </w:rPr>
              <w:t xml:space="preserve"> jer ne uzima na isti način izračunati trend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-a kao kod troškovnog modela iz 2020. kada je za primjenu trenda kretanja za buduća razdoblja (od 2022. nadalje), računao iznos postotka koji se primjenjivao kao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 xml:space="preserve"> trend kao prosjek za godine 2018. do 2021. U slučaju trenutnog modela to bi odgovaralo prosjeku za period 2022 -2025 pri čemu bi navedeni pokazatelj iznosio 6,1%.</w:t>
            </w:r>
          </w:p>
          <w:p w14:paraId="7C17F25C" w14:textId="77777777" w:rsidR="00132EA6" w:rsidRPr="00CE310D" w:rsidRDefault="00132EA6" w:rsidP="00132EA6">
            <w:pPr>
              <w:jc w:val="both"/>
              <w:rPr>
                <w:rFonts w:asciiTheme="minorHAnsi" w:hAnsiTheme="minorHAnsi" w:cstheme="minorHAnsi"/>
                <w:sz w:val="20"/>
                <w:szCs w:val="20"/>
              </w:rPr>
            </w:pPr>
          </w:p>
          <w:p w14:paraId="3FBE1CC2"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Stoga, HT poziva</w:t>
            </w:r>
            <w:r w:rsidRPr="00CE310D">
              <w:rPr>
                <w:rFonts w:asciiTheme="minorHAnsi" w:hAnsiTheme="minorHAnsi" w:cstheme="minorHAnsi"/>
              </w:rPr>
              <w:t xml:space="preserve"> </w:t>
            </w:r>
            <w:r w:rsidRPr="00CE310D">
              <w:rPr>
                <w:rFonts w:asciiTheme="minorHAnsi" w:hAnsiTheme="minorHAnsi" w:cstheme="minorHAnsi"/>
                <w:sz w:val="20"/>
                <w:szCs w:val="20"/>
              </w:rPr>
              <w:t xml:space="preserve">HAKOM da uskladi navedene parametre i zadrži metodologiju koju je primijenio kod inicijalne izrade troškovnog modela iz 2020. godine kako bi osigurao dosljednost i točnost u izračunima </w:t>
            </w:r>
            <w:proofErr w:type="spellStart"/>
            <w:r w:rsidRPr="00CE310D">
              <w:rPr>
                <w:rFonts w:asciiTheme="minorHAnsi" w:hAnsiTheme="minorHAnsi" w:cstheme="minorHAnsi"/>
                <w:sz w:val="20"/>
                <w:szCs w:val="20"/>
              </w:rPr>
              <w:t>OPEX</w:t>
            </w:r>
            <w:proofErr w:type="spellEnd"/>
            <w:r w:rsidRPr="00CE310D">
              <w:rPr>
                <w:rFonts w:asciiTheme="minorHAnsi" w:hAnsiTheme="minorHAnsi" w:cstheme="minorHAnsi"/>
                <w:sz w:val="20"/>
                <w:szCs w:val="20"/>
              </w:rPr>
              <w:t>-a.</w:t>
            </w:r>
          </w:p>
          <w:p w14:paraId="7B621B89" w14:textId="77777777" w:rsidR="00132EA6" w:rsidRPr="00CE310D" w:rsidRDefault="00132EA6" w:rsidP="00132EA6">
            <w:pPr>
              <w:jc w:val="both"/>
              <w:rPr>
                <w:rFonts w:asciiTheme="minorHAnsi" w:hAnsiTheme="minorHAnsi" w:cstheme="minorHAnsi"/>
                <w:sz w:val="20"/>
                <w:szCs w:val="20"/>
              </w:rPr>
            </w:pPr>
          </w:p>
          <w:p w14:paraId="7DC74788" w14:textId="77777777" w:rsidR="00132EA6" w:rsidRPr="00CE310D" w:rsidRDefault="00132EA6" w:rsidP="00132EA6">
            <w:pPr>
              <w:pStyle w:val="ListParagraph"/>
              <w:numPr>
                <w:ilvl w:val="0"/>
                <w:numId w:val="9"/>
              </w:numPr>
              <w:jc w:val="both"/>
              <w:rPr>
                <w:rFonts w:asciiTheme="minorHAnsi" w:hAnsiTheme="minorHAnsi" w:cstheme="minorHAnsi"/>
                <w:sz w:val="20"/>
                <w:szCs w:val="20"/>
                <w:u w:val="single"/>
              </w:rPr>
            </w:pPr>
            <w:r w:rsidRPr="00CE310D">
              <w:rPr>
                <w:rFonts w:asciiTheme="minorHAnsi" w:hAnsiTheme="minorHAnsi" w:cstheme="minorHAnsi"/>
                <w:sz w:val="20"/>
                <w:szCs w:val="20"/>
                <w:u w:val="single"/>
              </w:rPr>
              <w:t>Troškovi prava puta</w:t>
            </w:r>
          </w:p>
          <w:p w14:paraId="61103AD8" w14:textId="77777777" w:rsidR="00132EA6" w:rsidRPr="00CE310D" w:rsidRDefault="00132EA6" w:rsidP="00132EA6">
            <w:pPr>
              <w:jc w:val="both"/>
              <w:rPr>
                <w:rFonts w:asciiTheme="minorHAnsi" w:hAnsiTheme="minorHAnsi" w:cstheme="minorHAnsi"/>
                <w:sz w:val="20"/>
                <w:szCs w:val="20"/>
              </w:rPr>
            </w:pPr>
          </w:p>
          <w:p w14:paraId="46AE55D9"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HT navodi kako se u tablici niže nalazi prikaz</w:t>
            </w:r>
            <w:r w:rsidRPr="00CE310D">
              <w:rPr>
                <w:rFonts w:asciiTheme="minorHAnsi" w:hAnsiTheme="minorHAnsi" w:cstheme="minorHAnsi"/>
              </w:rPr>
              <w:t xml:space="preserve"> </w:t>
            </w:r>
            <w:r w:rsidRPr="00CE310D">
              <w:rPr>
                <w:rFonts w:asciiTheme="minorHAnsi" w:hAnsiTheme="minorHAnsi" w:cstheme="minorHAnsi"/>
                <w:sz w:val="20"/>
                <w:szCs w:val="20"/>
              </w:rPr>
              <w:t>povijesnih podataka o iznosima koje je HT platio za pravo puta uspoređeni s podacima koji su ušli u važeći troškovni model kojim su određene veleprodajne cijene za razdoblje od 2021. do 2023.:</w:t>
            </w:r>
          </w:p>
          <w:p w14:paraId="29203675" w14:textId="1EE6D56D" w:rsidR="00132EA6" w:rsidRDefault="00132EA6" w:rsidP="00132EA6">
            <w:pPr>
              <w:rPr>
                <w:rFonts w:asciiTheme="minorHAnsi" w:hAnsiTheme="minorHAnsi" w:cstheme="minorHAnsi"/>
              </w:rPr>
            </w:pPr>
          </w:p>
          <w:p w14:paraId="189681FA" w14:textId="17EB09EA" w:rsidR="00CD2D5F" w:rsidRDefault="00CD2D5F" w:rsidP="00132EA6">
            <w:pPr>
              <w:rPr>
                <w:rFonts w:asciiTheme="minorHAnsi" w:hAnsiTheme="minorHAnsi" w:cstheme="minorHAnsi"/>
              </w:rPr>
            </w:pPr>
          </w:p>
          <w:p w14:paraId="2EE81D1E" w14:textId="6668EA60" w:rsidR="00CD2D5F" w:rsidRPr="00C14C99" w:rsidRDefault="00CD2D5F" w:rsidP="00132EA6">
            <w:pPr>
              <w:rPr>
                <w:rFonts w:asciiTheme="minorHAnsi" w:hAnsiTheme="minorHAnsi" w:cstheme="minorHAnsi"/>
              </w:rPr>
            </w:pPr>
            <w:r w:rsidRPr="00C14C99">
              <w:rPr>
                <w:rFonts w:asciiTheme="minorHAnsi" w:hAnsiTheme="minorHAnsi" w:cstheme="minorHAnsi"/>
              </w:rPr>
              <w:sym w:font="Wingdings" w:char="F022"/>
            </w:r>
            <w:r w:rsidRPr="00C14C99">
              <w:rPr>
                <w:rFonts w:asciiTheme="minorHAnsi" w:hAnsiTheme="minorHAnsi" w:cstheme="minorHAnsi"/>
              </w:rPr>
              <w:sym w:font="Wingdings" w:char="F022"/>
            </w:r>
            <w:r w:rsidRPr="00C14C99">
              <w:rPr>
                <w:rFonts w:asciiTheme="minorHAnsi" w:hAnsiTheme="minorHAnsi" w:cstheme="minorHAnsi"/>
              </w:rPr>
              <w:sym w:font="Wingdings" w:char="F022"/>
            </w:r>
          </w:p>
          <w:p w14:paraId="4A1AF945" w14:textId="49E3A254" w:rsidR="00132EA6" w:rsidRPr="00CE310D" w:rsidRDefault="00132EA6" w:rsidP="00132EA6">
            <w:pPr>
              <w:pStyle w:val="Caption"/>
              <w:keepNext/>
              <w:rPr>
                <w:rFonts w:asciiTheme="minorHAnsi" w:hAnsiTheme="minorHAnsi" w:cstheme="minorHAnsi"/>
              </w:rPr>
            </w:pPr>
            <w:r w:rsidRPr="00C14C99">
              <w:rPr>
                <w:rFonts w:asciiTheme="minorHAnsi" w:hAnsiTheme="minorHAnsi" w:cstheme="minorHAnsi"/>
              </w:rPr>
              <w:t xml:space="preserve">                Tablica </w:t>
            </w:r>
            <w:r w:rsidR="00D137DE" w:rsidRPr="00C14C99">
              <w:rPr>
                <w:rFonts w:asciiTheme="minorHAnsi" w:hAnsiTheme="minorHAnsi" w:cstheme="minorHAnsi"/>
              </w:rPr>
              <w:fldChar w:fldCharType="begin"/>
            </w:r>
            <w:r w:rsidR="00D137DE" w:rsidRPr="00C14C99">
              <w:rPr>
                <w:rFonts w:asciiTheme="minorHAnsi" w:hAnsiTheme="minorHAnsi" w:cstheme="minorHAnsi"/>
              </w:rPr>
              <w:instrText xml:space="preserve"> SEQ Tablica \* ARABIC </w:instrText>
            </w:r>
            <w:r w:rsidR="00D137DE" w:rsidRPr="00C14C99">
              <w:rPr>
                <w:rFonts w:asciiTheme="minorHAnsi" w:hAnsiTheme="minorHAnsi" w:cstheme="minorHAnsi"/>
              </w:rPr>
              <w:fldChar w:fldCharType="separate"/>
            </w:r>
            <w:r w:rsidRPr="00C14C99">
              <w:rPr>
                <w:rFonts w:asciiTheme="minorHAnsi" w:hAnsiTheme="minorHAnsi" w:cstheme="minorHAnsi"/>
                <w:noProof/>
              </w:rPr>
              <w:t>4</w:t>
            </w:r>
            <w:r w:rsidR="00D137DE" w:rsidRPr="00C14C99">
              <w:rPr>
                <w:rFonts w:asciiTheme="minorHAnsi" w:hAnsiTheme="minorHAnsi" w:cstheme="minorHAnsi"/>
                <w:noProof/>
              </w:rPr>
              <w:fldChar w:fldCharType="end"/>
            </w:r>
            <w:r w:rsidRPr="00C14C99">
              <w:rPr>
                <w:rFonts w:asciiTheme="minorHAnsi" w:hAnsiTheme="minorHAnsi" w:cstheme="minorHAnsi"/>
              </w:rPr>
              <w:t>- Troškovi za pravo puta</w:t>
            </w:r>
          </w:p>
          <w:p w14:paraId="07D99EF1" w14:textId="3CD73F5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HT ističe da analizom podataka (tablica 4) postaje jasno da pretpostavka kojom su troškovi za prava puta zadržani konstantnim nije bila točna i značajno je podcijenila stvarne troškove za pravo puta. To dalje znači da HT nije mogao povratiti stvarne troškove kroz veleprodajne cijene, jer su cijene ostale nepromijenjene unatoč rastu stvarnih troškova.</w:t>
            </w:r>
          </w:p>
          <w:p w14:paraId="28A5C9BE" w14:textId="7B394F64" w:rsidR="00132EA6" w:rsidRPr="00CE310D" w:rsidRDefault="00132EA6" w:rsidP="00132EA6">
            <w:pPr>
              <w:jc w:val="both"/>
              <w:rPr>
                <w:rFonts w:asciiTheme="minorHAnsi" w:hAnsiTheme="minorHAnsi" w:cstheme="minorHAnsi"/>
                <w:sz w:val="20"/>
                <w:szCs w:val="20"/>
              </w:rPr>
            </w:pPr>
          </w:p>
          <w:p w14:paraId="21C243F3" w14:textId="77777777" w:rsidR="00132EA6" w:rsidRPr="00CE310D" w:rsidRDefault="00132EA6" w:rsidP="00132EA6">
            <w:pPr>
              <w:jc w:val="both"/>
              <w:rPr>
                <w:rFonts w:asciiTheme="minorHAnsi" w:hAnsiTheme="minorHAnsi" w:cstheme="minorHAnsi"/>
                <w:sz w:val="20"/>
                <w:szCs w:val="20"/>
              </w:rPr>
            </w:pPr>
            <w:r w:rsidRPr="00CE310D">
              <w:rPr>
                <w:rFonts w:asciiTheme="minorHAnsi" w:hAnsiTheme="minorHAnsi" w:cstheme="minorHAnsi"/>
                <w:sz w:val="20"/>
                <w:szCs w:val="20"/>
              </w:rPr>
              <w:t>Nadalje, HT ističe da unatoč evidentnom nedostatku u važećem modelu, u ažuriranom modelu HAKOM i dalje zadržava istu pretpostavku da će troškovi prava puta ostati konstantni, iako je predvidljivo da će ti troškovi rasti zbog novih zahtjeva fizičkih i pravnih subjekata.</w:t>
            </w:r>
          </w:p>
          <w:p w14:paraId="34B58311" w14:textId="77777777" w:rsidR="00132EA6" w:rsidRPr="00CE310D" w:rsidRDefault="00132EA6" w:rsidP="00132EA6">
            <w:pPr>
              <w:jc w:val="both"/>
              <w:rPr>
                <w:rFonts w:asciiTheme="minorHAnsi" w:hAnsiTheme="minorHAnsi" w:cstheme="minorHAnsi"/>
                <w:sz w:val="20"/>
                <w:szCs w:val="20"/>
              </w:rPr>
            </w:pPr>
          </w:p>
          <w:p w14:paraId="2F0AA3E2" w14:textId="222E2D63" w:rsidR="00132EA6" w:rsidRPr="00CE310D" w:rsidRDefault="00132EA6" w:rsidP="00C14C99">
            <w:pPr>
              <w:jc w:val="both"/>
              <w:rPr>
                <w:rFonts w:asciiTheme="minorHAnsi" w:hAnsiTheme="minorHAnsi" w:cstheme="minorHAnsi"/>
                <w:sz w:val="20"/>
                <w:szCs w:val="20"/>
              </w:rPr>
            </w:pPr>
            <w:r w:rsidRPr="00CE310D">
              <w:rPr>
                <w:rFonts w:asciiTheme="minorHAnsi" w:hAnsiTheme="minorHAnsi" w:cstheme="minorHAnsi"/>
                <w:sz w:val="20"/>
                <w:szCs w:val="20"/>
              </w:rPr>
              <w:t>HT izražava svoje nezadovoljstvo zbog toga što HAKOM ne prihvaća stvarne troškove prava puta iz proteklih razdoblja. Naime, HT smatra da navedeni troškovi su stvarni i ne razlikuju se od troškova koji su nastali iz obveza tijekom tekuće godine, osim što se naplaćuju kasnije iz administrativnih razloga. Na</w:t>
            </w:r>
            <w:r w:rsidR="00D62D1B" w:rsidRPr="00CE310D">
              <w:rPr>
                <w:rFonts w:asciiTheme="minorHAnsi" w:hAnsiTheme="minorHAnsi" w:cstheme="minorHAnsi"/>
                <w:sz w:val="20"/>
                <w:szCs w:val="20"/>
              </w:rPr>
              <w:t xml:space="preserve"> primjer, dio troškova za razdoblja</w:t>
            </w:r>
            <w:r w:rsidRPr="00CE310D">
              <w:rPr>
                <w:rFonts w:asciiTheme="minorHAnsi" w:hAnsiTheme="minorHAnsi" w:cstheme="minorHAnsi"/>
                <w:sz w:val="20"/>
                <w:szCs w:val="20"/>
              </w:rPr>
              <w:t xml:space="preserve"> 2021. do 2023. bit će naplaćen u razdoblju od 2024. do 2026., ali se ti troškovi ne uzimaju u obzir ni za jedno od razdoblja. Ovakva odluka HAKOM-a nema realnu osnovu, već se čini arbitrarnom i ne priznaje stvarne troškove HT-a. Ovo ograničava HT-ovu mogućnost povrata svojih sredstava, što je neprihvatljivo s obzirom na stvarne troškove i administrativne zahtjeve.</w:t>
            </w:r>
          </w:p>
        </w:tc>
        <w:tc>
          <w:tcPr>
            <w:tcW w:w="1936" w:type="pct"/>
            <w:tcBorders>
              <w:top w:val="single" w:sz="6" w:space="0" w:color="CCCCCC"/>
              <w:left w:val="single" w:sz="6" w:space="0" w:color="CCCCCC"/>
              <w:bottom w:val="single" w:sz="6" w:space="0" w:color="CCCCCC"/>
              <w:right w:val="single" w:sz="6" w:space="0" w:color="CCCCCC"/>
            </w:tcBorders>
          </w:tcPr>
          <w:p w14:paraId="4C809D3D" w14:textId="4BE436B7" w:rsidR="005C2633" w:rsidRPr="005777ED" w:rsidRDefault="005C2633" w:rsidP="005777ED">
            <w:pPr>
              <w:rPr>
                <w:rFonts w:asciiTheme="minorHAnsi" w:hAnsiTheme="minorHAnsi" w:cstheme="minorHAnsi"/>
                <w:b/>
                <w:sz w:val="20"/>
                <w:szCs w:val="20"/>
              </w:rPr>
            </w:pPr>
          </w:p>
          <w:p w14:paraId="7D1D18E7" w14:textId="598AA8FA" w:rsidR="005C2633" w:rsidRPr="00BA779E" w:rsidRDefault="005C2633" w:rsidP="005C2633">
            <w:pPr>
              <w:ind w:left="39"/>
              <w:jc w:val="both"/>
              <w:rPr>
                <w:rFonts w:asciiTheme="minorHAnsi" w:hAnsiTheme="minorHAnsi" w:cstheme="minorHAnsi"/>
                <w:sz w:val="20"/>
                <w:szCs w:val="20"/>
              </w:rPr>
            </w:pPr>
            <w:r w:rsidRPr="00BA779E">
              <w:rPr>
                <w:rFonts w:asciiTheme="minorHAnsi" w:hAnsiTheme="minorHAnsi" w:cstheme="minorHAnsi"/>
                <w:sz w:val="20"/>
                <w:szCs w:val="20"/>
              </w:rPr>
              <w:t xml:space="preserve">Prije svega, </w:t>
            </w:r>
            <w:r w:rsidR="00800CCF">
              <w:rPr>
                <w:rFonts w:asciiTheme="minorHAnsi" w:hAnsiTheme="minorHAnsi" w:cstheme="minorHAnsi"/>
                <w:sz w:val="20"/>
                <w:szCs w:val="20"/>
              </w:rPr>
              <w:t>HAKOM ističe kako se velika veći</w:t>
            </w:r>
            <w:r w:rsidRPr="00BA779E">
              <w:rPr>
                <w:rFonts w:asciiTheme="minorHAnsi" w:hAnsiTheme="minorHAnsi" w:cstheme="minorHAnsi"/>
                <w:sz w:val="20"/>
                <w:szCs w:val="20"/>
              </w:rPr>
              <w:t>na ulaznih podataka o jediničnim troškovima koji su ugrađeni u troškovni model odnosi na podatke dostavljene od HT-a.</w:t>
            </w:r>
          </w:p>
          <w:p w14:paraId="60515DC3" w14:textId="77777777" w:rsidR="005C2633" w:rsidRPr="00BA779E" w:rsidRDefault="005C2633" w:rsidP="005C2633">
            <w:pPr>
              <w:jc w:val="both"/>
              <w:rPr>
                <w:rFonts w:asciiTheme="minorHAnsi" w:hAnsiTheme="minorHAnsi" w:cstheme="minorHAnsi"/>
                <w:sz w:val="20"/>
                <w:szCs w:val="20"/>
              </w:rPr>
            </w:pPr>
          </w:p>
          <w:p w14:paraId="2C86E7D2" w14:textId="0335CFD6" w:rsidR="005C2633" w:rsidRDefault="005C2633" w:rsidP="005C2633">
            <w:pPr>
              <w:jc w:val="both"/>
              <w:rPr>
                <w:rFonts w:asciiTheme="minorHAnsi" w:hAnsiTheme="minorHAnsi" w:cstheme="minorHAnsi"/>
                <w:sz w:val="20"/>
                <w:szCs w:val="20"/>
              </w:rPr>
            </w:pPr>
            <w:r w:rsidRPr="00BA779E">
              <w:rPr>
                <w:rFonts w:asciiTheme="minorHAnsi" w:hAnsiTheme="minorHAnsi" w:cstheme="minorHAnsi"/>
                <w:sz w:val="20"/>
                <w:szCs w:val="20"/>
              </w:rPr>
              <w:t xml:space="preserve">Naime, u samom procesu prikupljanja podatka, HAKOM je utvrdio kako dio podataka o jediničnim </w:t>
            </w:r>
            <w:proofErr w:type="spellStart"/>
            <w:r w:rsidRPr="00BA779E">
              <w:rPr>
                <w:rFonts w:asciiTheme="minorHAnsi" w:hAnsiTheme="minorHAnsi" w:cstheme="minorHAnsi"/>
                <w:sz w:val="20"/>
                <w:szCs w:val="20"/>
              </w:rPr>
              <w:t>CAPEX</w:t>
            </w:r>
            <w:proofErr w:type="spellEnd"/>
            <w:r w:rsidRPr="00BA779E">
              <w:rPr>
                <w:rFonts w:asciiTheme="minorHAnsi" w:hAnsiTheme="minorHAnsi" w:cstheme="minorHAnsi"/>
                <w:sz w:val="20"/>
                <w:szCs w:val="20"/>
              </w:rPr>
              <w:t xml:space="preserve"> troškovima HT-a koji se odnose na dio pristupne optičke i kabelske kanalizacijske </w:t>
            </w:r>
            <w:proofErr w:type="spellStart"/>
            <w:r w:rsidRPr="00BA779E">
              <w:rPr>
                <w:rFonts w:asciiTheme="minorHAnsi" w:hAnsiTheme="minorHAnsi" w:cstheme="minorHAnsi"/>
                <w:sz w:val="20"/>
                <w:szCs w:val="20"/>
              </w:rPr>
              <w:t>infratrukture</w:t>
            </w:r>
            <w:proofErr w:type="spellEnd"/>
            <w:r w:rsidRPr="00BA779E">
              <w:rPr>
                <w:rFonts w:asciiTheme="minorHAnsi" w:hAnsiTheme="minorHAnsi" w:cstheme="minorHAnsi"/>
                <w:sz w:val="20"/>
                <w:szCs w:val="20"/>
              </w:rPr>
              <w:t xml:space="preserve"> nije u skladu s </w:t>
            </w:r>
            <w:proofErr w:type="spellStart"/>
            <w:r w:rsidRPr="00BA779E">
              <w:rPr>
                <w:rFonts w:asciiTheme="minorHAnsi" w:hAnsiTheme="minorHAnsi" w:cstheme="minorHAnsi"/>
                <w:sz w:val="20"/>
                <w:szCs w:val="20"/>
              </w:rPr>
              <w:t>uobičajnim</w:t>
            </w:r>
            <w:proofErr w:type="spellEnd"/>
            <w:r w:rsidRPr="00BA779E">
              <w:rPr>
                <w:rFonts w:asciiTheme="minorHAnsi" w:hAnsiTheme="minorHAnsi" w:cstheme="minorHAnsi"/>
                <w:sz w:val="20"/>
                <w:szCs w:val="20"/>
              </w:rPr>
              <w:t xml:space="preserve"> jediničnim troškovima u </w:t>
            </w:r>
            <w:proofErr w:type="spellStart"/>
            <w:r w:rsidRPr="00BA779E">
              <w:rPr>
                <w:rFonts w:asciiTheme="minorHAnsi" w:hAnsiTheme="minorHAnsi" w:cstheme="minorHAnsi"/>
                <w:sz w:val="20"/>
                <w:szCs w:val="20"/>
              </w:rPr>
              <w:t>indrustriji</w:t>
            </w:r>
            <w:proofErr w:type="spellEnd"/>
            <w:r w:rsidRPr="00BA779E">
              <w:rPr>
                <w:rFonts w:asciiTheme="minorHAnsi" w:hAnsiTheme="minorHAnsi" w:cstheme="minorHAnsi"/>
                <w:sz w:val="20"/>
                <w:szCs w:val="20"/>
              </w:rPr>
              <w:t xml:space="preserve">, te je stoga od HT zatraženo </w:t>
            </w:r>
            <w:r w:rsidRPr="00BA779E">
              <w:rPr>
                <w:rFonts w:asciiTheme="minorHAnsi" w:hAnsiTheme="minorHAnsi" w:cstheme="minorHAnsi"/>
                <w:sz w:val="20"/>
                <w:szCs w:val="20"/>
              </w:rPr>
              <w:lastRenderedPageBreak/>
              <w:t>da dostavi relevantne dokaze koj</w:t>
            </w:r>
            <w:r w:rsidR="00B2096D">
              <w:rPr>
                <w:rFonts w:asciiTheme="minorHAnsi" w:hAnsiTheme="minorHAnsi" w:cstheme="minorHAnsi"/>
                <w:sz w:val="20"/>
                <w:szCs w:val="20"/>
              </w:rPr>
              <w:t>i</w:t>
            </w:r>
            <w:r w:rsidRPr="00BA779E">
              <w:rPr>
                <w:rFonts w:asciiTheme="minorHAnsi" w:hAnsiTheme="minorHAnsi" w:cstheme="minorHAnsi"/>
                <w:sz w:val="20"/>
                <w:szCs w:val="20"/>
              </w:rPr>
              <w:t xml:space="preserve"> potkrepljuju navedene podatke. Naime, za dio kabelske kanalizacije HT je dostavio realizirane važeće ugovore s dobavljačima iz 2022</w:t>
            </w:r>
            <w:r w:rsidR="00B2096D">
              <w:rPr>
                <w:rFonts w:asciiTheme="minorHAnsi" w:hAnsiTheme="minorHAnsi" w:cstheme="minorHAnsi"/>
                <w:sz w:val="20"/>
                <w:szCs w:val="20"/>
              </w:rPr>
              <w:t>.</w:t>
            </w:r>
            <w:r w:rsidRPr="00BA779E">
              <w:rPr>
                <w:rFonts w:asciiTheme="minorHAnsi" w:hAnsiTheme="minorHAnsi" w:cstheme="minorHAnsi"/>
                <w:sz w:val="20"/>
                <w:szCs w:val="20"/>
              </w:rPr>
              <w:t xml:space="preserve">, kao </w:t>
            </w:r>
            <w:r w:rsidR="000D1FBC">
              <w:rPr>
                <w:rFonts w:asciiTheme="minorHAnsi" w:hAnsiTheme="minorHAnsi" w:cstheme="minorHAnsi"/>
                <w:sz w:val="20"/>
                <w:szCs w:val="20"/>
              </w:rPr>
              <w:t xml:space="preserve">i </w:t>
            </w:r>
            <w:r w:rsidRPr="00BA779E">
              <w:rPr>
                <w:rFonts w:asciiTheme="minorHAnsi" w:hAnsiTheme="minorHAnsi" w:cstheme="minorHAnsi"/>
                <w:sz w:val="20"/>
                <w:szCs w:val="20"/>
              </w:rPr>
              <w:t xml:space="preserve">prateće servisne kataloge (troškovnike) i fakture. Međutim, iz dostavljenih važećih ugovora te pripadajućih servisnih kataloga (troškovnika) i faktura, HAKOM nije mogao utvrditi jedinične troškove radova i materijala za izgradnju dijela navedene kabelske kanalizacije. </w:t>
            </w:r>
            <w:r w:rsidR="00B2096D">
              <w:rPr>
                <w:rFonts w:asciiTheme="minorHAnsi" w:hAnsiTheme="minorHAnsi" w:cstheme="minorHAnsi"/>
                <w:sz w:val="20"/>
                <w:szCs w:val="20"/>
              </w:rPr>
              <w:t>HAKOM je utvrdio da su</w:t>
            </w:r>
            <w:r w:rsidRPr="00BA779E">
              <w:rPr>
                <w:rFonts w:asciiTheme="minorHAnsi" w:hAnsiTheme="minorHAnsi" w:cstheme="minorHAnsi"/>
                <w:sz w:val="20"/>
                <w:szCs w:val="20"/>
              </w:rPr>
              <w:t xml:space="preserve"> pojedine kategorije jediničnih troškova koje HT ima ugovorene sa svojim dobavljačem, a koje značajno utječu na jedinične troškove rovova, značajno više od jediničnih cijena izgrad</w:t>
            </w:r>
            <w:r w:rsidR="00E955B6">
              <w:rPr>
                <w:rFonts w:asciiTheme="minorHAnsi" w:hAnsiTheme="minorHAnsi" w:cstheme="minorHAnsi"/>
                <w:sz w:val="20"/>
                <w:szCs w:val="20"/>
              </w:rPr>
              <w:t xml:space="preserve">nje koje se postižu na tržištu. </w:t>
            </w:r>
            <w:r w:rsidR="00B2096D">
              <w:rPr>
                <w:rFonts w:asciiTheme="minorHAnsi" w:hAnsiTheme="minorHAnsi" w:cstheme="minorHAnsi"/>
                <w:sz w:val="20"/>
                <w:szCs w:val="20"/>
              </w:rPr>
              <w:t xml:space="preserve">Stoga </w:t>
            </w:r>
            <w:r w:rsidRPr="00BA779E">
              <w:rPr>
                <w:rFonts w:asciiTheme="minorHAnsi" w:hAnsiTheme="minorHAnsi" w:cstheme="minorHAnsi"/>
                <w:sz w:val="20"/>
                <w:szCs w:val="20"/>
              </w:rPr>
              <w:t>j</w:t>
            </w:r>
            <w:r>
              <w:rPr>
                <w:rFonts w:asciiTheme="minorHAnsi" w:hAnsiTheme="minorHAnsi" w:cstheme="minorHAnsi"/>
                <w:sz w:val="20"/>
                <w:szCs w:val="20"/>
              </w:rPr>
              <w:t>e</w:t>
            </w:r>
            <w:r w:rsidR="00E955B6">
              <w:rPr>
                <w:rFonts w:asciiTheme="minorHAnsi" w:hAnsiTheme="minorHAnsi" w:cstheme="minorHAnsi"/>
                <w:sz w:val="20"/>
                <w:szCs w:val="20"/>
              </w:rPr>
              <w:t xml:space="preserve"> dodatno</w:t>
            </w:r>
            <w:r w:rsidRPr="00BA779E">
              <w:rPr>
                <w:rFonts w:asciiTheme="minorHAnsi" w:hAnsiTheme="minorHAnsi" w:cstheme="minorHAnsi"/>
                <w:sz w:val="20"/>
                <w:szCs w:val="20"/>
              </w:rPr>
              <w:t xml:space="preserve"> zatražio od HT</w:t>
            </w:r>
            <w:r w:rsidR="00B2096D">
              <w:rPr>
                <w:rFonts w:asciiTheme="minorHAnsi" w:hAnsiTheme="minorHAnsi" w:cstheme="minorHAnsi"/>
                <w:sz w:val="20"/>
                <w:szCs w:val="20"/>
              </w:rPr>
              <w:t>-a</w:t>
            </w:r>
            <w:r w:rsidR="008B4193">
              <w:rPr>
                <w:rFonts w:asciiTheme="minorHAnsi" w:hAnsiTheme="minorHAnsi" w:cstheme="minorHAnsi"/>
                <w:sz w:val="20"/>
                <w:szCs w:val="20"/>
              </w:rPr>
              <w:t>,</w:t>
            </w:r>
            <w:r w:rsidR="00417C70">
              <w:rPr>
                <w:rFonts w:asciiTheme="minorHAnsi" w:hAnsiTheme="minorHAnsi" w:cstheme="minorHAnsi"/>
                <w:sz w:val="20"/>
                <w:szCs w:val="20"/>
              </w:rPr>
              <w:t xml:space="preserve"> </w:t>
            </w:r>
            <w:r w:rsidR="008B4193">
              <w:rPr>
                <w:rFonts w:asciiTheme="minorHAnsi" w:hAnsiTheme="minorHAnsi" w:cstheme="minorHAnsi"/>
                <w:sz w:val="20"/>
                <w:szCs w:val="20"/>
              </w:rPr>
              <w:t xml:space="preserve">ali </w:t>
            </w:r>
            <w:r w:rsidR="00417C70">
              <w:rPr>
                <w:rFonts w:asciiTheme="minorHAnsi" w:hAnsiTheme="minorHAnsi" w:cstheme="minorHAnsi"/>
                <w:sz w:val="20"/>
                <w:szCs w:val="20"/>
              </w:rPr>
              <w:t>i</w:t>
            </w:r>
            <w:r w:rsidR="00E955B6">
              <w:rPr>
                <w:rFonts w:asciiTheme="minorHAnsi" w:hAnsiTheme="minorHAnsi" w:cstheme="minorHAnsi"/>
                <w:sz w:val="20"/>
                <w:szCs w:val="20"/>
              </w:rPr>
              <w:t xml:space="preserve"> </w:t>
            </w:r>
            <w:r w:rsidR="00417C70">
              <w:rPr>
                <w:rFonts w:asciiTheme="minorHAnsi" w:hAnsiTheme="minorHAnsi" w:cstheme="minorHAnsi"/>
                <w:sz w:val="20"/>
                <w:szCs w:val="20"/>
              </w:rPr>
              <w:t>alternativnih operatora</w:t>
            </w:r>
            <w:r w:rsidR="008B4193">
              <w:rPr>
                <w:rFonts w:asciiTheme="minorHAnsi" w:hAnsiTheme="minorHAnsi" w:cstheme="minorHAnsi"/>
                <w:sz w:val="20"/>
                <w:szCs w:val="20"/>
              </w:rPr>
              <w:t>,</w:t>
            </w:r>
            <w:r w:rsidRPr="00BA779E">
              <w:rPr>
                <w:rFonts w:asciiTheme="minorHAnsi" w:hAnsiTheme="minorHAnsi" w:cstheme="minorHAnsi"/>
                <w:sz w:val="20"/>
                <w:szCs w:val="20"/>
              </w:rPr>
              <w:t xml:space="preserve"> da d</w:t>
            </w:r>
            <w:r w:rsidR="00417C70">
              <w:rPr>
                <w:rFonts w:asciiTheme="minorHAnsi" w:hAnsiTheme="minorHAnsi" w:cstheme="minorHAnsi"/>
                <w:sz w:val="20"/>
                <w:szCs w:val="20"/>
              </w:rPr>
              <w:t>ostav</w:t>
            </w:r>
            <w:r w:rsidR="00E955B6">
              <w:rPr>
                <w:rFonts w:asciiTheme="minorHAnsi" w:hAnsiTheme="minorHAnsi" w:cstheme="minorHAnsi"/>
                <w:sz w:val="20"/>
                <w:szCs w:val="20"/>
              </w:rPr>
              <w:t>e ugovore s</w:t>
            </w:r>
            <w:r w:rsidR="00417C70">
              <w:rPr>
                <w:rFonts w:asciiTheme="minorHAnsi" w:hAnsiTheme="minorHAnsi" w:cstheme="minorHAnsi"/>
                <w:sz w:val="20"/>
                <w:szCs w:val="20"/>
              </w:rPr>
              <w:t xml:space="preserve"> dobavljačima </w:t>
            </w:r>
            <w:r w:rsidR="00B2096D">
              <w:rPr>
                <w:rFonts w:asciiTheme="minorHAnsi" w:hAnsiTheme="minorHAnsi" w:cstheme="minorHAnsi"/>
                <w:sz w:val="20"/>
                <w:szCs w:val="20"/>
              </w:rPr>
              <w:t>te</w:t>
            </w:r>
            <w:r w:rsidR="00417C70">
              <w:rPr>
                <w:rFonts w:asciiTheme="minorHAnsi" w:hAnsiTheme="minorHAnsi" w:cstheme="minorHAnsi"/>
                <w:sz w:val="20"/>
                <w:szCs w:val="20"/>
              </w:rPr>
              <w:t xml:space="preserve"> prateće</w:t>
            </w:r>
            <w:r w:rsidRPr="00BA779E">
              <w:rPr>
                <w:rFonts w:asciiTheme="minorHAnsi" w:hAnsiTheme="minorHAnsi" w:cstheme="minorHAnsi"/>
                <w:sz w:val="20"/>
                <w:szCs w:val="20"/>
              </w:rPr>
              <w:t xml:space="preserve"> troškovni</w:t>
            </w:r>
            <w:r w:rsidR="00417C70">
              <w:rPr>
                <w:rFonts w:asciiTheme="minorHAnsi" w:hAnsiTheme="minorHAnsi" w:cstheme="minorHAnsi"/>
                <w:sz w:val="20"/>
                <w:szCs w:val="20"/>
              </w:rPr>
              <w:t>ke i primjere obračuna faktura koje se odnose</w:t>
            </w:r>
            <w:r w:rsidRPr="00BA779E">
              <w:rPr>
                <w:rFonts w:asciiTheme="minorHAnsi" w:hAnsiTheme="minorHAnsi" w:cstheme="minorHAnsi"/>
                <w:sz w:val="20"/>
                <w:szCs w:val="20"/>
              </w:rPr>
              <w:t xml:space="preserve"> na izgra</w:t>
            </w:r>
            <w:r w:rsidR="00E955B6">
              <w:rPr>
                <w:rFonts w:asciiTheme="minorHAnsi" w:hAnsiTheme="minorHAnsi" w:cstheme="minorHAnsi"/>
                <w:sz w:val="20"/>
                <w:szCs w:val="20"/>
              </w:rPr>
              <w:t xml:space="preserve">dnju kabelske kanalizacije na „bijelim </w:t>
            </w:r>
            <w:r w:rsidRPr="00BA779E">
              <w:rPr>
                <w:rFonts w:asciiTheme="minorHAnsi" w:hAnsiTheme="minorHAnsi" w:cstheme="minorHAnsi"/>
                <w:sz w:val="20"/>
                <w:szCs w:val="20"/>
              </w:rPr>
              <w:t>područjima“ u okviru PRŠI-a</w:t>
            </w:r>
            <w:r w:rsidR="00B2096D">
              <w:rPr>
                <w:rFonts w:asciiTheme="minorHAnsi" w:hAnsiTheme="minorHAnsi" w:cstheme="minorHAnsi"/>
                <w:sz w:val="20"/>
                <w:szCs w:val="20"/>
              </w:rPr>
              <w:t>,</w:t>
            </w:r>
            <w:r w:rsidRPr="00BA779E">
              <w:rPr>
                <w:rFonts w:asciiTheme="minorHAnsi" w:hAnsiTheme="minorHAnsi" w:cstheme="minorHAnsi"/>
                <w:sz w:val="20"/>
                <w:szCs w:val="20"/>
              </w:rPr>
              <w:t xml:space="preserve"> koja se realizira putem bespovratnih sredstava iz EU fondova te čija nabava podliježe postupku javne nabave. Međutim, HT</w:t>
            </w:r>
            <w:r w:rsidR="00B2096D">
              <w:rPr>
                <w:rFonts w:asciiTheme="minorHAnsi" w:hAnsiTheme="minorHAnsi" w:cstheme="minorHAnsi"/>
                <w:sz w:val="20"/>
                <w:szCs w:val="20"/>
              </w:rPr>
              <w:t xml:space="preserve"> je</w:t>
            </w:r>
            <w:r w:rsidRPr="00BA779E">
              <w:rPr>
                <w:rFonts w:asciiTheme="minorHAnsi" w:hAnsiTheme="minorHAnsi" w:cstheme="minorHAnsi"/>
                <w:sz w:val="20"/>
                <w:szCs w:val="20"/>
              </w:rPr>
              <w:t xml:space="preserve"> naveo da ne može dostaviti tražene troškovnike i fakture jer se predmet nabave naručivao tj. ugovarao po principu „ključ u ruke“</w:t>
            </w:r>
            <w:r w:rsidR="00B2096D">
              <w:rPr>
                <w:rFonts w:asciiTheme="minorHAnsi" w:hAnsiTheme="minorHAnsi" w:cstheme="minorHAnsi"/>
                <w:sz w:val="20"/>
                <w:szCs w:val="20"/>
              </w:rPr>
              <w:t xml:space="preserve"> -</w:t>
            </w:r>
            <w:r w:rsidRPr="00BA779E">
              <w:rPr>
                <w:rFonts w:asciiTheme="minorHAnsi" w:hAnsiTheme="minorHAnsi" w:cstheme="minorHAnsi"/>
                <w:sz w:val="20"/>
                <w:szCs w:val="20"/>
              </w:rPr>
              <w:t xml:space="preserve"> izvođači nisu bili dužni dostavljati troškovnike tj. jedinične cijene i količine prilikom predavanja ponuda tj. potpisa Ugovora.</w:t>
            </w:r>
            <w:r w:rsidR="00417C70">
              <w:rPr>
                <w:rFonts w:asciiTheme="minorHAnsi" w:hAnsiTheme="minorHAnsi" w:cstheme="minorHAnsi"/>
                <w:sz w:val="20"/>
                <w:szCs w:val="20"/>
              </w:rPr>
              <w:t xml:space="preserve"> </w:t>
            </w:r>
            <w:r w:rsidR="00B2096D">
              <w:rPr>
                <w:rFonts w:asciiTheme="minorHAnsi" w:hAnsiTheme="minorHAnsi" w:cstheme="minorHAnsi"/>
                <w:sz w:val="20"/>
                <w:szCs w:val="20"/>
              </w:rPr>
              <w:t>S druge strane,</w:t>
            </w:r>
            <w:r w:rsidR="00417C70">
              <w:rPr>
                <w:rFonts w:asciiTheme="minorHAnsi" w:hAnsiTheme="minorHAnsi" w:cstheme="minorHAnsi"/>
                <w:sz w:val="20"/>
                <w:szCs w:val="20"/>
              </w:rPr>
              <w:t xml:space="preserve"> alternativni operatori koji grade </w:t>
            </w:r>
            <w:r w:rsidR="00E955B6">
              <w:rPr>
                <w:rFonts w:asciiTheme="minorHAnsi" w:hAnsiTheme="minorHAnsi" w:cstheme="minorHAnsi"/>
                <w:sz w:val="20"/>
                <w:szCs w:val="20"/>
              </w:rPr>
              <w:t xml:space="preserve">mreže na navedenim područjima </w:t>
            </w:r>
            <w:r w:rsidR="00B2096D">
              <w:rPr>
                <w:rFonts w:asciiTheme="minorHAnsi" w:hAnsiTheme="minorHAnsi" w:cstheme="minorHAnsi"/>
                <w:sz w:val="20"/>
                <w:szCs w:val="20"/>
              </w:rPr>
              <w:t xml:space="preserve">su </w:t>
            </w:r>
            <w:r w:rsidR="00E955B6">
              <w:rPr>
                <w:rFonts w:asciiTheme="minorHAnsi" w:hAnsiTheme="minorHAnsi" w:cstheme="minorHAnsi"/>
                <w:sz w:val="20"/>
                <w:szCs w:val="20"/>
              </w:rPr>
              <w:t>dostavili tražene ugovore sa pripadajućim troškovnicima i fakturama</w:t>
            </w:r>
            <w:r w:rsidR="00B2096D">
              <w:rPr>
                <w:rFonts w:asciiTheme="minorHAnsi" w:hAnsiTheme="minorHAnsi" w:cstheme="minorHAnsi"/>
                <w:sz w:val="20"/>
                <w:szCs w:val="20"/>
              </w:rPr>
              <w:t>,</w:t>
            </w:r>
            <w:r w:rsidR="00E955B6">
              <w:rPr>
                <w:rFonts w:asciiTheme="minorHAnsi" w:hAnsiTheme="minorHAnsi" w:cstheme="minorHAnsi"/>
                <w:sz w:val="20"/>
                <w:szCs w:val="20"/>
              </w:rPr>
              <w:t xml:space="preserve"> iz kojih s</w:t>
            </w:r>
            <w:r w:rsidR="008B4193">
              <w:rPr>
                <w:rFonts w:asciiTheme="minorHAnsi" w:hAnsiTheme="minorHAnsi" w:cstheme="minorHAnsi"/>
                <w:sz w:val="20"/>
                <w:szCs w:val="20"/>
              </w:rPr>
              <w:t>u se</w:t>
            </w:r>
            <w:r w:rsidR="00E955B6">
              <w:rPr>
                <w:rFonts w:asciiTheme="minorHAnsi" w:hAnsiTheme="minorHAnsi" w:cstheme="minorHAnsi"/>
                <w:sz w:val="20"/>
                <w:szCs w:val="20"/>
              </w:rPr>
              <w:t xml:space="preserve"> mogli utvrditi jedinični troškovi radova i materijala za izgradnju kabelske kanalizacije.</w:t>
            </w:r>
            <w:r w:rsidRPr="00BA779E">
              <w:rPr>
                <w:rFonts w:asciiTheme="minorHAnsi" w:hAnsiTheme="minorHAnsi" w:cstheme="minorHAnsi"/>
                <w:sz w:val="20"/>
                <w:szCs w:val="20"/>
              </w:rPr>
              <w:t xml:space="preserve"> </w:t>
            </w:r>
          </w:p>
          <w:p w14:paraId="10459CB9" w14:textId="765A2750" w:rsidR="00883279" w:rsidRDefault="00883279" w:rsidP="005C2633">
            <w:pPr>
              <w:jc w:val="both"/>
              <w:rPr>
                <w:rFonts w:asciiTheme="minorHAnsi" w:hAnsiTheme="minorHAnsi" w:cstheme="minorHAnsi"/>
                <w:sz w:val="20"/>
                <w:szCs w:val="20"/>
              </w:rPr>
            </w:pPr>
          </w:p>
          <w:p w14:paraId="7BA314EE" w14:textId="4272F66B" w:rsidR="00883279" w:rsidRDefault="00883279" w:rsidP="005C2633">
            <w:pPr>
              <w:jc w:val="both"/>
              <w:rPr>
                <w:rFonts w:asciiTheme="minorHAnsi" w:hAnsiTheme="minorHAnsi" w:cstheme="minorHAnsi"/>
                <w:sz w:val="20"/>
                <w:szCs w:val="20"/>
              </w:rPr>
            </w:pPr>
            <w:r w:rsidRPr="00883279">
              <w:rPr>
                <w:rFonts w:asciiTheme="minorHAnsi" w:hAnsiTheme="minorHAnsi" w:cstheme="minorHAnsi"/>
                <w:sz w:val="20"/>
                <w:szCs w:val="20"/>
              </w:rPr>
              <w:t>Stoga, HAKOM nije prihvatio dio podataka o jediničnim troškovima HT-a vezan</w:t>
            </w:r>
            <w:r w:rsidR="00B2096D">
              <w:rPr>
                <w:rFonts w:asciiTheme="minorHAnsi" w:hAnsiTheme="minorHAnsi" w:cstheme="minorHAnsi"/>
                <w:sz w:val="20"/>
                <w:szCs w:val="20"/>
              </w:rPr>
              <w:t>o</w:t>
            </w:r>
            <w:r w:rsidRPr="00883279">
              <w:rPr>
                <w:rFonts w:asciiTheme="minorHAnsi" w:hAnsiTheme="minorHAnsi" w:cstheme="minorHAnsi"/>
                <w:sz w:val="20"/>
                <w:szCs w:val="20"/>
              </w:rPr>
              <w:t xml:space="preserve"> za rovove s cijevima, nego je, sukladno metodološkim načelima, za navedenu infrastrukturu koristio usporedive jedinične troškove iz alternativnih izvora</w:t>
            </w:r>
            <w:r w:rsidR="00B2096D">
              <w:rPr>
                <w:rFonts w:asciiTheme="minorHAnsi" w:hAnsiTheme="minorHAnsi" w:cstheme="minorHAnsi"/>
                <w:sz w:val="20"/>
                <w:szCs w:val="20"/>
              </w:rPr>
              <w:t>.</w:t>
            </w:r>
          </w:p>
          <w:p w14:paraId="1B56F8B6" w14:textId="2A47E5D7" w:rsidR="00786580" w:rsidRDefault="00786580" w:rsidP="004046FA">
            <w:pPr>
              <w:jc w:val="both"/>
              <w:rPr>
                <w:rFonts w:asciiTheme="minorHAnsi" w:hAnsiTheme="minorHAnsi" w:cstheme="minorHAnsi"/>
                <w:sz w:val="20"/>
                <w:szCs w:val="20"/>
              </w:rPr>
            </w:pPr>
          </w:p>
          <w:p w14:paraId="72A2C73D" w14:textId="6912C957" w:rsidR="004046FA" w:rsidRDefault="00786580" w:rsidP="00C14C99">
            <w:pPr>
              <w:ind w:left="39"/>
              <w:jc w:val="both"/>
              <w:rPr>
                <w:rFonts w:asciiTheme="minorHAnsi" w:hAnsiTheme="minorHAnsi" w:cstheme="minorHAnsi"/>
                <w:sz w:val="20"/>
                <w:szCs w:val="20"/>
              </w:rPr>
            </w:pPr>
            <w:r>
              <w:rPr>
                <w:rFonts w:asciiTheme="minorHAnsi" w:hAnsiTheme="minorHAnsi" w:cstheme="minorHAnsi"/>
                <w:sz w:val="20"/>
                <w:szCs w:val="20"/>
              </w:rPr>
              <w:t>Nadalje, vezano uz HT-ov</w:t>
            </w:r>
            <w:r w:rsidR="00761846">
              <w:rPr>
                <w:rFonts w:asciiTheme="minorHAnsi" w:hAnsiTheme="minorHAnsi" w:cstheme="minorHAnsi"/>
                <w:sz w:val="20"/>
                <w:szCs w:val="20"/>
              </w:rPr>
              <w:t>o</w:t>
            </w:r>
            <w:r>
              <w:rPr>
                <w:rFonts w:asciiTheme="minorHAnsi" w:hAnsiTheme="minorHAnsi" w:cstheme="minorHAnsi"/>
                <w:sz w:val="20"/>
                <w:szCs w:val="20"/>
              </w:rPr>
              <w:t xml:space="preserve"> mišljenje da nije ispravno uspoređivati cijenu za iste radove i materijal koju neki operatori dobiju samostalno </w:t>
            </w:r>
            <w:r w:rsidRPr="00786580">
              <w:rPr>
                <w:rFonts w:asciiTheme="minorHAnsi" w:hAnsiTheme="minorHAnsi" w:cstheme="minorHAnsi"/>
                <w:sz w:val="20"/>
                <w:szCs w:val="20"/>
              </w:rPr>
              <w:t xml:space="preserve"> na nekom manjem području s cijenom koju im</w:t>
            </w:r>
            <w:r w:rsidR="008F63EB">
              <w:rPr>
                <w:rFonts w:asciiTheme="minorHAnsi" w:hAnsiTheme="minorHAnsi" w:cstheme="minorHAnsi"/>
                <w:sz w:val="20"/>
                <w:szCs w:val="20"/>
              </w:rPr>
              <w:t>a HT u sklopu okvirnog ugovora za izvršenje radova</w:t>
            </w:r>
            <w:r w:rsidRPr="00786580">
              <w:rPr>
                <w:rFonts w:asciiTheme="minorHAnsi" w:hAnsiTheme="minorHAnsi" w:cstheme="minorHAnsi"/>
                <w:sz w:val="20"/>
                <w:szCs w:val="20"/>
              </w:rPr>
              <w:t xml:space="preserve"> na cijelom teritoriju R</w:t>
            </w:r>
            <w:r w:rsidR="008F63EB">
              <w:rPr>
                <w:rFonts w:asciiTheme="minorHAnsi" w:hAnsiTheme="minorHAnsi" w:cstheme="minorHAnsi"/>
                <w:sz w:val="20"/>
                <w:szCs w:val="20"/>
              </w:rPr>
              <w:t>H, HAKOM ističe kako je u procesu analize navedenih jediničnih cijena HT-a i jediničnih cijena od alternativnih operatora uspoređiva</w:t>
            </w:r>
            <w:r w:rsidR="000D1FBC">
              <w:rPr>
                <w:rFonts w:asciiTheme="minorHAnsi" w:hAnsiTheme="minorHAnsi" w:cstheme="minorHAnsi"/>
                <w:sz w:val="20"/>
                <w:szCs w:val="20"/>
              </w:rPr>
              <w:t>o</w:t>
            </w:r>
            <w:r w:rsidR="008F63EB">
              <w:rPr>
                <w:rFonts w:asciiTheme="minorHAnsi" w:hAnsiTheme="minorHAnsi" w:cstheme="minorHAnsi"/>
                <w:sz w:val="20"/>
                <w:szCs w:val="20"/>
              </w:rPr>
              <w:t xml:space="preserve"> sam</w:t>
            </w:r>
            <w:r w:rsidR="008B4193">
              <w:rPr>
                <w:rFonts w:asciiTheme="minorHAnsi" w:hAnsiTheme="minorHAnsi" w:cstheme="minorHAnsi"/>
                <w:sz w:val="20"/>
                <w:szCs w:val="20"/>
              </w:rPr>
              <w:t>o cijene</w:t>
            </w:r>
            <w:r w:rsidR="008F63EB">
              <w:rPr>
                <w:rFonts w:asciiTheme="minorHAnsi" w:hAnsiTheme="minorHAnsi" w:cstheme="minorHAnsi"/>
                <w:sz w:val="20"/>
                <w:szCs w:val="20"/>
              </w:rPr>
              <w:t xml:space="preserve"> za iste stavke materijala i radova</w:t>
            </w:r>
            <w:r w:rsidR="008B4193">
              <w:rPr>
                <w:rFonts w:asciiTheme="minorHAnsi" w:hAnsiTheme="minorHAnsi" w:cstheme="minorHAnsi"/>
                <w:sz w:val="20"/>
                <w:szCs w:val="20"/>
              </w:rPr>
              <w:t xml:space="preserve"> iz dostavljenih faktura</w:t>
            </w:r>
            <w:r w:rsidR="008F63EB">
              <w:rPr>
                <w:rFonts w:asciiTheme="minorHAnsi" w:hAnsiTheme="minorHAnsi" w:cstheme="minorHAnsi"/>
                <w:sz w:val="20"/>
                <w:szCs w:val="20"/>
              </w:rPr>
              <w:t xml:space="preserve">. </w:t>
            </w:r>
            <w:r w:rsidR="008B4193">
              <w:rPr>
                <w:rFonts w:asciiTheme="minorHAnsi" w:hAnsiTheme="minorHAnsi" w:cstheme="minorHAnsi"/>
                <w:sz w:val="20"/>
                <w:szCs w:val="20"/>
              </w:rPr>
              <w:t>Naime,</w:t>
            </w:r>
            <w:r w:rsidR="008F63EB">
              <w:rPr>
                <w:rFonts w:asciiTheme="minorHAnsi" w:hAnsiTheme="minorHAnsi" w:cstheme="minorHAnsi"/>
                <w:sz w:val="20"/>
                <w:szCs w:val="20"/>
              </w:rPr>
              <w:t xml:space="preserve"> HAKOM smatra</w:t>
            </w:r>
            <w:r w:rsidR="008B4193">
              <w:rPr>
                <w:rFonts w:asciiTheme="minorHAnsi" w:hAnsiTheme="minorHAnsi" w:cstheme="minorHAnsi"/>
                <w:sz w:val="20"/>
                <w:szCs w:val="20"/>
              </w:rPr>
              <w:t xml:space="preserve"> kako bi cijena</w:t>
            </w:r>
            <w:r w:rsidR="008F63EB">
              <w:rPr>
                <w:rFonts w:asciiTheme="minorHAnsi" w:hAnsiTheme="minorHAnsi" w:cstheme="minorHAnsi"/>
                <w:sz w:val="20"/>
                <w:szCs w:val="20"/>
              </w:rPr>
              <w:t xml:space="preserve"> </w:t>
            </w:r>
            <w:r w:rsidR="008B4193">
              <w:rPr>
                <w:rFonts w:asciiTheme="minorHAnsi" w:hAnsiTheme="minorHAnsi" w:cstheme="minorHAnsi"/>
                <w:sz w:val="20"/>
                <w:szCs w:val="20"/>
              </w:rPr>
              <w:t xml:space="preserve">za iste radove (npr. </w:t>
            </w:r>
            <w:r w:rsidR="008B4193" w:rsidRPr="004046FA">
              <w:rPr>
                <w:rFonts w:asciiTheme="minorHAnsi" w:hAnsiTheme="minorHAnsi" w:cstheme="minorHAnsi"/>
                <w:i/>
                <w:sz w:val="20"/>
                <w:szCs w:val="20"/>
              </w:rPr>
              <w:t>Iskop i zatrpavanje tla grupe I</w:t>
            </w:r>
            <w:r w:rsidR="008B4193">
              <w:rPr>
                <w:rFonts w:asciiTheme="minorHAnsi" w:hAnsiTheme="minorHAnsi" w:cstheme="minorHAnsi"/>
                <w:i/>
                <w:sz w:val="20"/>
                <w:szCs w:val="20"/>
              </w:rPr>
              <w:t xml:space="preserve"> </w:t>
            </w:r>
            <w:proofErr w:type="spellStart"/>
            <w:r w:rsidR="008B4193" w:rsidRPr="004046FA">
              <w:rPr>
                <w:rFonts w:asciiTheme="minorHAnsi" w:hAnsiTheme="minorHAnsi" w:cstheme="minorHAnsi"/>
                <w:i/>
                <w:sz w:val="20"/>
                <w:szCs w:val="20"/>
              </w:rPr>
              <w:t>i</w:t>
            </w:r>
            <w:proofErr w:type="spellEnd"/>
            <w:r w:rsidR="008B4193">
              <w:rPr>
                <w:rFonts w:asciiTheme="minorHAnsi" w:hAnsiTheme="minorHAnsi" w:cstheme="minorHAnsi"/>
                <w:i/>
                <w:sz w:val="20"/>
                <w:szCs w:val="20"/>
              </w:rPr>
              <w:t xml:space="preserve"> </w:t>
            </w:r>
            <w:r w:rsidR="008B4193" w:rsidRPr="004046FA">
              <w:rPr>
                <w:rFonts w:asciiTheme="minorHAnsi" w:hAnsiTheme="minorHAnsi" w:cstheme="minorHAnsi"/>
                <w:i/>
                <w:sz w:val="20"/>
                <w:szCs w:val="20"/>
              </w:rPr>
              <w:t>II</w:t>
            </w:r>
            <w:r w:rsidR="008B4193">
              <w:rPr>
                <w:rFonts w:asciiTheme="minorHAnsi" w:hAnsiTheme="minorHAnsi" w:cstheme="minorHAnsi"/>
                <w:sz w:val="20"/>
                <w:szCs w:val="20"/>
              </w:rPr>
              <w:t xml:space="preserve"> ) </w:t>
            </w:r>
            <w:r w:rsidR="004046FA">
              <w:rPr>
                <w:rFonts w:asciiTheme="minorHAnsi" w:hAnsiTheme="minorHAnsi" w:cstheme="minorHAnsi"/>
                <w:sz w:val="20"/>
                <w:szCs w:val="20"/>
              </w:rPr>
              <w:t xml:space="preserve">trebala </w:t>
            </w:r>
            <w:r w:rsidR="008B4193">
              <w:rPr>
                <w:rFonts w:asciiTheme="minorHAnsi" w:hAnsiTheme="minorHAnsi" w:cstheme="minorHAnsi"/>
                <w:sz w:val="20"/>
                <w:szCs w:val="20"/>
              </w:rPr>
              <w:t xml:space="preserve">biti jednaka bez obzira </w:t>
            </w:r>
            <w:r w:rsidR="00A3196B">
              <w:rPr>
                <w:rFonts w:asciiTheme="minorHAnsi" w:hAnsiTheme="minorHAnsi" w:cstheme="minorHAnsi"/>
                <w:sz w:val="20"/>
                <w:szCs w:val="20"/>
              </w:rPr>
              <w:t>rade</w:t>
            </w:r>
            <w:r w:rsidR="008B4193">
              <w:rPr>
                <w:rFonts w:asciiTheme="minorHAnsi" w:hAnsiTheme="minorHAnsi" w:cstheme="minorHAnsi"/>
                <w:sz w:val="20"/>
                <w:szCs w:val="20"/>
              </w:rPr>
              <w:t xml:space="preserve"> li se navedeni radovi na pojedinom području ili na cijelom teritoriju RH.</w:t>
            </w:r>
          </w:p>
          <w:p w14:paraId="7AF0EE89" w14:textId="77777777" w:rsidR="007B663A" w:rsidRDefault="007B663A" w:rsidP="00C14C99">
            <w:pPr>
              <w:ind w:left="39"/>
              <w:jc w:val="both"/>
              <w:rPr>
                <w:rFonts w:asciiTheme="minorHAnsi" w:hAnsiTheme="minorHAnsi" w:cstheme="minorHAnsi"/>
                <w:sz w:val="20"/>
                <w:szCs w:val="20"/>
              </w:rPr>
            </w:pPr>
          </w:p>
          <w:p w14:paraId="22EDB182" w14:textId="77777777" w:rsidR="007B663A" w:rsidRDefault="007B663A" w:rsidP="00C14C99">
            <w:pPr>
              <w:ind w:left="39"/>
              <w:jc w:val="both"/>
              <w:rPr>
                <w:rFonts w:asciiTheme="minorHAnsi" w:hAnsiTheme="minorHAnsi" w:cstheme="minorHAnsi"/>
                <w:sz w:val="20"/>
                <w:szCs w:val="20"/>
              </w:rPr>
            </w:pPr>
          </w:p>
          <w:p w14:paraId="26C16944" w14:textId="77777777" w:rsidR="007B663A" w:rsidRDefault="007B663A" w:rsidP="00C14C99">
            <w:pPr>
              <w:ind w:left="39"/>
              <w:jc w:val="both"/>
              <w:rPr>
                <w:rFonts w:asciiTheme="minorHAnsi" w:hAnsiTheme="minorHAnsi" w:cstheme="minorHAnsi"/>
                <w:sz w:val="20"/>
                <w:szCs w:val="20"/>
              </w:rPr>
            </w:pPr>
          </w:p>
          <w:p w14:paraId="0433E219" w14:textId="77777777" w:rsidR="007B663A" w:rsidRDefault="007B663A" w:rsidP="00C14C99">
            <w:pPr>
              <w:ind w:left="39"/>
              <w:jc w:val="both"/>
              <w:rPr>
                <w:rFonts w:asciiTheme="minorHAnsi" w:hAnsiTheme="minorHAnsi" w:cstheme="minorHAnsi"/>
                <w:sz w:val="20"/>
                <w:szCs w:val="20"/>
              </w:rPr>
            </w:pPr>
          </w:p>
          <w:p w14:paraId="4AD7FA49" w14:textId="77777777" w:rsidR="007B663A" w:rsidRDefault="007B663A" w:rsidP="00C14C99">
            <w:pPr>
              <w:ind w:left="39"/>
              <w:jc w:val="both"/>
              <w:rPr>
                <w:rFonts w:asciiTheme="minorHAnsi" w:hAnsiTheme="minorHAnsi" w:cstheme="minorHAnsi"/>
                <w:sz w:val="20"/>
                <w:szCs w:val="20"/>
              </w:rPr>
            </w:pPr>
          </w:p>
          <w:p w14:paraId="33AF4306" w14:textId="77777777" w:rsidR="007B663A" w:rsidRDefault="007B663A" w:rsidP="00C14C99">
            <w:pPr>
              <w:ind w:left="39"/>
              <w:jc w:val="both"/>
              <w:rPr>
                <w:rFonts w:asciiTheme="minorHAnsi" w:hAnsiTheme="minorHAnsi" w:cstheme="minorHAnsi"/>
                <w:sz w:val="20"/>
                <w:szCs w:val="20"/>
              </w:rPr>
            </w:pPr>
          </w:p>
          <w:p w14:paraId="1FB891ED" w14:textId="77777777" w:rsidR="007B663A" w:rsidRDefault="007B663A" w:rsidP="00C14C99">
            <w:pPr>
              <w:ind w:left="39"/>
              <w:jc w:val="both"/>
              <w:rPr>
                <w:rFonts w:asciiTheme="minorHAnsi" w:hAnsiTheme="minorHAnsi" w:cstheme="minorHAnsi"/>
                <w:sz w:val="20"/>
                <w:szCs w:val="20"/>
              </w:rPr>
            </w:pPr>
          </w:p>
          <w:p w14:paraId="69079709" w14:textId="77777777" w:rsidR="007B663A" w:rsidRDefault="007B663A" w:rsidP="00C14C99">
            <w:pPr>
              <w:ind w:left="39"/>
              <w:jc w:val="both"/>
              <w:rPr>
                <w:rFonts w:asciiTheme="minorHAnsi" w:hAnsiTheme="minorHAnsi" w:cstheme="minorHAnsi"/>
                <w:sz w:val="20"/>
                <w:szCs w:val="20"/>
              </w:rPr>
            </w:pPr>
          </w:p>
          <w:p w14:paraId="076D9549" w14:textId="77777777" w:rsidR="007B663A" w:rsidRDefault="007B663A" w:rsidP="00C14C99">
            <w:pPr>
              <w:ind w:left="39"/>
              <w:jc w:val="both"/>
              <w:rPr>
                <w:rFonts w:asciiTheme="minorHAnsi" w:hAnsiTheme="minorHAnsi" w:cstheme="minorHAnsi"/>
                <w:sz w:val="20"/>
                <w:szCs w:val="20"/>
              </w:rPr>
            </w:pPr>
          </w:p>
          <w:p w14:paraId="7C35E50C" w14:textId="77777777" w:rsidR="007B663A" w:rsidRDefault="007B663A" w:rsidP="00C14C99">
            <w:pPr>
              <w:ind w:left="39"/>
              <w:jc w:val="both"/>
              <w:rPr>
                <w:rFonts w:asciiTheme="minorHAnsi" w:hAnsiTheme="minorHAnsi" w:cstheme="minorHAnsi"/>
                <w:sz w:val="20"/>
                <w:szCs w:val="20"/>
              </w:rPr>
            </w:pPr>
          </w:p>
          <w:p w14:paraId="60697E50" w14:textId="77AE8113" w:rsidR="00D02850" w:rsidRDefault="007B663A" w:rsidP="007B663A">
            <w:pPr>
              <w:jc w:val="both"/>
              <w:rPr>
                <w:rFonts w:asciiTheme="minorHAnsi" w:hAnsiTheme="minorHAnsi" w:cstheme="minorHAnsi"/>
                <w:sz w:val="20"/>
                <w:szCs w:val="20"/>
              </w:rPr>
            </w:pPr>
            <w:r>
              <w:rPr>
                <w:rFonts w:asciiTheme="minorHAnsi" w:hAnsiTheme="minorHAnsi" w:cstheme="minorHAnsi"/>
                <w:sz w:val="20"/>
                <w:szCs w:val="20"/>
              </w:rPr>
              <w:t>Naime,</w:t>
            </w:r>
            <w:r w:rsidR="00E1455F">
              <w:rPr>
                <w:rFonts w:asciiTheme="minorHAnsi" w:hAnsiTheme="minorHAnsi" w:cstheme="minorHAnsi"/>
                <w:sz w:val="20"/>
                <w:szCs w:val="20"/>
              </w:rPr>
              <w:t xml:space="preserve"> prema izračunu</w:t>
            </w:r>
            <w:r>
              <w:rPr>
                <w:rFonts w:asciiTheme="minorHAnsi" w:hAnsiTheme="minorHAnsi" w:cstheme="minorHAnsi"/>
                <w:sz w:val="20"/>
                <w:szCs w:val="20"/>
              </w:rPr>
              <w:t xml:space="preserve"> troškova kabelske kanalizacije (</w:t>
            </w:r>
            <w:proofErr w:type="spellStart"/>
            <w:r>
              <w:rPr>
                <w:rFonts w:asciiTheme="minorHAnsi" w:hAnsiTheme="minorHAnsi" w:cstheme="minorHAnsi"/>
                <w:sz w:val="20"/>
                <w:szCs w:val="20"/>
              </w:rPr>
              <w:t>DTK</w:t>
            </w:r>
            <w:proofErr w:type="spellEnd"/>
            <w:r>
              <w:rPr>
                <w:rFonts w:asciiTheme="minorHAnsi" w:hAnsiTheme="minorHAnsi" w:cstheme="minorHAnsi"/>
                <w:sz w:val="20"/>
                <w:szCs w:val="20"/>
              </w:rPr>
              <w:t xml:space="preserve">) kojeg je dostavio HT, stavka </w:t>
            </w:r>
            <w:r w:rsidR="00810A8F">
              <w:rPr>
                <w:rFonts w:asciiTheme="minorHAnsi" w:hAnsiTheme="minorHAnsi" w:cstheme="minorHAnsi"/>
                <w:sz w:val="20"/>
                <w:szCs w:val="20"/>
              </w:rPr>
              <w:t xml:space="preserve">troškova za </w:t>
            </w:r>
            <w:r>
              <w:rPr>
                <w:rFonts w:asciiTheme="minorHAnsi" w:hAnsiTheme="minorHAnsi" w:cstheme="minorHAnsi"/>
                <w:sz w:val="20"/>
                <w:szCs w:val="20"/>
              </w:rPr>
              <w:t xml:space="preserve">projektiranje i konzalting </w:t>
            </w:r>
            <w:r w:rsidR="00A3196B">
              <w:rPr>
                <w:rFonts w:asciiTheme="minorHAnsi" w:hAnsiTheme="minorHAnsi" w:cstheme="minorHAnsi"/>
                <w:sz w:val="20"/>
                <w:szCs w:val="20"/>
              </w:rPr>
              <w:t>primjenjuje se kao</w:t>
            </w:r>
            <w:r>
              <w:rPr>
                <w:rFonts w:asciiTheme="minorHAnsi" w:hAnsiTheme="minorHAnsi" w:cstheme="minorHAnsi"/>
                <w:sz w:val="20"/>
                <w:szCs w:val="20"/>
              </w:rPr>
              <w:t xml:space="preserve"> </w:t>
            </w:r>
            <w:r w:rsidR="000D1FBC">
              <w:rPr>
                <w:rFonts w:asciiTheme="minorHAnsi" w:hAnsiTheme="minorHAnsi" w:cstheme="minorHAnsi"/>
                <w:sz w:val="20"/>
                <w:szCs w:val="20"/>
              </w:rPr>
              <w:t>dodatak</w:t>
            </w:r>
            <w:r w:rsidR="00E1455F">
              <w:rPr>
                <w:rFonts w:asciiTheme="minorHAnsi" w:hAnsiTheme="minorHAnsi" w:cstheme="minorHAnsi"/>
                <w:sz w:val="20"/>
                <w:szCs w:val="20"/>
              </w:rPr>
              <w:t xml:space="preserve"> od </w:t>
            </w:r>
            <w:r w:rsidR="00BD0BBF">
              <w:rPr>
                <w:rFonts w:asciiTheme="minorHAnsi" w:hAnsiTheme="minorHAnsi" w:cstheme="minorHAnsi"/>
                <w:sz w:val="20"/>
                <w:szCs w:val="20"/>
              </w:rPr>
              <w:t xml:space="preserve">oko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w:t>
            </w:r>
            <w:r w:rsidR="00E1455F" w:rsidRPr="00C14C99">
              <w:rPr>
                <w:rFonts w:asciiTheme="minorHAnsi" w:hAnsiTheme="minorHAnsi" w:cstheme="minorHAnsi"/>
                <w:sz w:val="20"/>
                <w:szCs w:val="20"/>
              </w:rPr>
              <w:t xml:space="preserve"> na </w:t>
            </w:r>
            <w:r w:rsidRPr="00C14C99">
              <w:rPr>
                <w:rFonts w:asciiTheme="minorHAnsi" w:hAnsiTheme="minorHAnsi" w:cstheme="minorHAnsi"/>
                <w:sz w:val="20"/>
                <w:szCs w:val="20"/>
              </w:rPr>
              <w:t>troškov</w:t>
            </w:r>
            <w:r w:rsidR="00E1455F" w:rsidRPr="00C14C99">
              <w:rPr>
                <w:rFonts w:asciiTheme="minorHAnsi" w:hAnsiTheme="minorHAnsi" w:cstheme="minorHAnsi"/>
                <w:sz w:val="20"/>
                <w:szCs w:val="20"/>
              </w:rPr>
              <w:t>e radova i materijala za izgradnju</w:t>
            </w:r>
            <w:r w:rsidRPr="00C14C99">
              <w:rPr>
                <w:rFonts w:asciiTheme="minorHAnsi" w:hAnsiTheme="minorHAnsi" w:cstheme="minorHAnsi"/>
                <w:sz w:val="20"/>
                <w:szCs w:val="20"/>
              </w:rPr>
              <w:t xml:space="preserve"> kabelske kanalizacije. Naime, HAKOM ističe kako se</w:t>
            </w:r>
            <w:r w:rsidR="00E1455F" w:rsidRPr="00C14C99">
              <w:rPr>
                <w:rFonts w:asciiTheme="minorHAnsi" w:hAnsiTheme="minorHAnsi" w:cstheme="minorHAnsi"/>
                <w:sz w:val="20"/>
                <w:szCs w:val="20"/>
              </w:rPr>
              <w:t xml:space="preserve"> dodatak</w:t>
            </w:r>
            <w:r w:rsidRPr="00C14C99">
              <w:rPr>
                <w:rFonts w:asciiTheme="minorHAnsi" w:hAnsiTheme="minorHAnsi" w:cstheme="minorHAnsi"/>
                <w:sz w:val="20"/>
                <w:szCs w:val="20"/>
              </w:rPr>
              <w:t xml:space="preserve"> </w:t>
            </w:r>
            <w:r w:rsidR="00E1455F" w:rsidRPr="00C14C99">
              <w:rPr>
                <w:rFonts w:asciiTheme="minorHAnsi" w:hAnsiTheme="minorHAnsi" w:cstheme="minorHAnsi"/>
                <w:sz w:val="20"/>
                <w:szCs w:val="20"/>
              </w:rPr>
              <w:t>troškova</w:t>
            </w:r>
            <w:r w:rsidR="00810A8F" w:rsidRPr="00C14C99">
              <w:rPr>
                <w:rFonts w:asciiTheme="minorHAnsi" w:hAnsiTheme="minorHAnsi" w:cstheme="minorHAnsi"/>
                <w:sz w:val="20"/>
                <w:szCs w:val="20"/>
              </w:rPr>
              <w:t xml:space="preserve"> za n</w:t>
            </w:r>
            <w:r w:rsidR="00A3196B" w:rsidRPr="00C14C99">
              <w:rPr>
                <w:rFonts w:asciiTheme="minorHAnsi" w:hAnsiTheme="minorHAnsi" w:cstheme="minorHAnsi"/>
                <w:sz w:val="20"/>
                <w:szCs w:val="20"/>
              </w:rPr>
              <w:t>a</w:t>
            </w:r>
            <w:r w:rsidR="00810A8F" w:rsidRPr="00C14C99">
              <w:rPr>
                <w:rFonts w:asciiTheme="minorHAnsi" w:hAnsiTheme="minorHAnsi" w:cstheme="minorHAnsi"/>
                <w:sz w:val="20"/>
                <w:szCs w:val="20"/>
              </w:rPr>
              <w:t>vedenu stavku u industriji kreć</w:t>
            </w:r>
            <w:r w:rsidR="00A3196B" w:rsidRPr="00C14C99">
              <w:rPr>
                <w:rFonts w:asciiTheme="minorHAnsi" w:hAnsiTheme="minorHAnsi" w:cstheme="minorHAnsi"/>
                <w:sz w:val="20"/>
                <w:szCs w:val="20"/>
              </w:rPr>
              <w:t>e</w:t>
            </w:r>
            <w:r w:rsidR="00810A8F" w:rsidRPr="00C14C99">
              <w:rPr>
                <w:rFonts w:asciiTheme="minorHAnsi" w:hAnsiTheme="minorHAnsi" w:cstheme="minorHAnsi"/>
                <w:sz w:val="20"/>
                <w:szCs w:val="20"/>
              </w:rPr>
              <w:t xml:space="preserve"> u rasponu od 5%</w:t>
            </w:r>
            <w:r w:rsidR="00BD0BBF" w:rsidRPr="00C14C99">
              <w:rPr>
                <w:rFonts w:asciiTheme="minorHAnsi" w:hAnsiTheme="minorHAnsi" w:cstheme="minorHAnsi"/>
                <w:sz w:val="20"/>
                <w:szCs w:val="20"/>
              </w:rPr>
              <w:t xml:space="preserve"> do 10</w:t>
            </w:r>
            <w:r w:rsidR="00810A8F" w:rsidRPr="00C14C99">
              <w:rPr>
                <w:rFonts w:asciiTheme="minorHAnsi" w:hAnsiTheme="minorHAnsi" w:cstheme="minorHAnsi"/>
                <w:sz w:val="20"/>
                <w:szCs w:val="20"/>
              </w:rPr>
              <w:t>% na</w:t>
            </w:r>
            <w:r w:rsidR="00AA406E" w:rsidRPr="00C14C99">
              <w:rPr>
                <w:rFonts w:asciiTheme="minorHAnsi" w:hAnsiTheme="minorHAnsi" w:cstheme="minorHAnsi"/>
                <w:sz w:val="20"/>
                <w:szCs w:val="20"/>
              </w:rPr>
              <w:t xml:space="preserve"> </w:t>
            </w:r>
            <w:r w:rsidR="00810A8F" w:rsidRPr="00C14C99">
              <w:rPr>
                <w:rFonts w:asciiTheme="minorHAnsi" w:hAnsiTheme="minorHAnsi" w:cstheme="minorHAnsi"/>
                <w:sz w:val="20"/>
                <w:szCs w:val="20"/>
              </w:rPr>
              <w:t xml:space="preserve"> troškove</w:t>
            </w:r>
            <w:r w:rsidR="00AA406E" w:rsidRPr="00C14C99">
              <w:rPr>
                <w:rFonts w:asciiTheme="minorHAnsi" w:hAnsiTheme="minorHAnsi" w:cstheme="minorHAnsi"/>
                <w:sz w:val="20"/>
                <w:szCs w:val="20"/>
              </w:rPr>
              <w:t xml:space="preserve"> izgradnje kabelske kanalizacije</w:t>
            </w:r>
            <w:r w:rsidR="00810A8F" w:rsidRPr="00C14C99">
              <w:rPr>
                <w:rFonts w:asciiTheme="minorHAnsi" w:hAnsiTheme="minorHAnsi" w:cstheme="minorHAnsi"/>
                <w:sz w:val="20"/>
                <w:szCs w:val="20"/>
              </w:rPr>
              <w:t>. Obzirom na vlastito iskustvo i praksu u industriji, HAKOM je uskladio</w:t>
            </w:r>
            <w:r w:rsidR="00AA406E" w:rsidRPr="00C14C99">
              <w:rPr>
                <w:rFonts w:asciiTheme="minorHAnsi" w:hAnsiTheme="minorHAnsi" w:cstheme="minorHAnsi"/>
                <w:sz w:val="20"/>
                <w:szCs w:val="20"/>
              </w:rPr>
              <w:t xml:space="preserve"> navedeni</w:t>
            </w:r>
            <w:r w:rsidR="00810A8F" w:rsidRPr="00C14C99">
              <w:rPr>
                <w:rFonts w:asciiTheme="minorHAnsi" w:hAnsiTheme="minorHAnsi" w:cstheme="minorHAnsi"/>
                <w:sz w:val="20"/>
                <w:szCs w:val="20"/>
              </w:rPr>
              <w:t xml:space="preserve"> </w:t>
            </w:r>
            <w:r w:rsidR="00AA406E" w:rsidRPr="00C14C99">
              <w:rPr>
                <w:rFonts w:asciiTheme="minorHAnsi" w:hAnsiTheme="minorHAnsi" w:cstheme="minorHAnsi"/>
                <w:sz w:val="20"/>
                <w:szCs w:val="20"/>
              </w:rPr>
              <w:t>dodatak</w:t>
            </w:r>
            <w:r w:rsidR="00810A8F" w:rsidRPr="00C14C99">
              <w:rPr>
                <w:rFonts w:asciiTheme="minorHAnsi" w:hAnsiTheme="minorHAnsi" w:cstheme="minorHAnsi"/>
                <w:sz w:val="20"/>
                <w:szCs w:val="20"/>
              </w:rPr>
              <w:t xml:space="preserve"> troškova na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810A8F" w:rsidRPr="00C14C99">
              <w:rPr>
                <w:rFonts w:asciiTheme="minorHAnsi" w:hAnsiTheme="minorHAnsi" w:cstheme="minorHAnsi"/>
                <w:sz w:val="20"/>
                <w:szCs w:val="20"/>
              </w:rPr>
              <w:t>%</w:t>
            </w:r>
            <w:r w:rsidR="00810A8F">
              <w:rPr>
                <w:rFonts w:asciiTheme="minorHAnsi" w:hAnsiTheme="minorHAnsi" w:cstheme="minorHAnsi"/>
                <w:sz w:val="20"/>
                <w:szCs w:val="20"/>
              </w:rPr>
              <w:t xml:space="preserve"> za izgradnju kabelske kanalizacije</w:t>
            </w:r>
            <w:r w:rsidR="00AA406E">
              <w:rPr>
                <w:rFonts w:asciiTheme="minorHAnsi" w:hAnsiTheme="minorHAnsi" w:cstheme="minorHAnsi"/>
                <w:sz w:val="20"/>
                <w:szCs w:val="20"/>
              </w:rPr>
              <w:t>.</w:t>
            </w:r>
          </w:p>
          <w:p w14:paraId="0B511E2F" w14:textId="77777777" w:rsidR="00D02850" w:rsidRDefault="00D02850" w:rsidP="007B663A">
            <w:pPr>
              <w:jc w:val="both"/>
              <w:rPr>
                <w:rFonts w:asciiTheme="minorHAnsi" w:hAnsiTheme="minorHAnsi" w:cstheme="minorHAnsi"/>
                <w:sz w:val="20"/>
                <w:szCs w:val="20"/>
              </w:rPr>
            </w:pPr>
          </w:p>
          <w:p w14:paraId="4836BA12" w14:textId="77777777" w:rsidR="00D02850" w:rsidRDefault="00D02850" w:rsidP="007B663A">
            <w:pPr>
              <w:jc w:val="both"/>
              <w:rPr>
                <w:rFonts w:asciiTheme="minorHAnsi" w:hAnsiTheme="minorHAnsi" w:cstheme="minorHAnsi"/>
                <w:sz w:val="20"/>
                <w:szCs w:val="20"/>
              </w:rPr>
            </w:pPr>
          </w:p>
          <w:p w14:paraId="6F06F159" w14:textId="77777777" w:rsidR="00D02850" w:rsidRDefault="00D02850" w:rsidP="007B663A">
            <w:pPr>
              <w:jc w:val="both"/>
              <w:rPr>
                <w:rFonts w:asciiTheme="minorHAnsi" w:hAnsiTheme="minorHAnsi" w:cstheme="minorHAnsi"/>
                <w:sz w:val="20"/>
                <w:szCs w:val="20"/>
              </w:rPr>
            </w:pPr>
          </w:p>
          <w:p w14:paraId="48AEC1F9" w14:textId="77777777" w:rsidR="00D02850" w:rsidRDefault="00D02850" w:rsidP="007B663A">
            <w:pPr>
              <w:jc w:val="both"/>
              <w:rPr>
                <w:rFonts w:asciiTheme="minorHAnsi" w:hAnsiTheme="minorHAnsi" w:cstheme="minorHAnsi"/>
                <w:sz w:val="20"/>
                <w:szCs w:val="20"/>
              </w:rPr>
            </w:pPr>
          </w:p>
          <w:p w14:paraId="56262CB1" w14:textId="77777777" w:rsidR="00D02850" w:rsidRDefault="00D02850" w:rsidP="007B663A">
            <w:pPr>
              <w:jc w:val="both"/>
              <w:rPr>
                <w:rFonts w:asciiTheme="minorHAnsi" w:hAnsiTheme="minorHAnsi" w:cstheme="minorHAnsi"/>
                <w:sz w:val="20"/>
                <w:szCs w:val="20"/>
              </w:rPr>
            </w:pPr>
          </w:p>
          <w:p w14:paraId="55996E72" w14:textId="77777777" w:rsidR="00D02850" w:rsidRDefault="00D02850" w:rsidP="007B663A">
            <w:pPr>
              <w:jc w:val="both"/>
              <w:rPr>
                <w:rFonts w:asciiTheme="minorHAnsi" w:hAnsiTheme="minorHAnsi" w:cstheme="minorHAnsi"/>
                <w:sz w:val="20"/>
                <w:szCs w:val="20"/>
              </w:rPr>
            </w:pPr>
          </w:p>
          <w:p w14:paraId="02519D97" w14:textId="77777777" w:rsidR="00D02850" w:rsidRDefault="00D02850" w:rsidP="007B663A">
            <w:pPr>
              <w:jc w:val="both"/>
              <w:rPr>
                <w:rFonts w:asciiTheme="minorHAnsi" w:hAnsiTheme="minorHAnsi" w:cstheme="minorHAnsi"/>
                <w:sz w:val="20"/>
                <w:szCs w:val="20"/>
              </w:rPr>
            </w:pPr>
          </w:p>
          <w:p w14:paraId="2C751D74" w14:textId="77777777" w:rsidR="00D02850" w:rsidRDefault="00D02850" w:rsidP="007B663A">
            <w:pPr>
              <w:jc w:val="both"/>
              <w:rPr>
                <w:rFonts w:asciiTheme="minorHAnsi" w:hAnsiTheme="minorHAnsi" w:cstheme="minorHAnsi"/>
                <w:sz w:val="20"/>
                <w:szCs w:val="20"/>
              </w:rPr>
            </w:pPr>
          </w:p>
          <w:p w14:paraId="5AF25D36" w14:textId="77777777" w:rsidR="00D02850" w:rsidRDefault="00D02850" w:rsidP="007B663A">
            <w:pPr>
              <w:jc w:val="both"/>
              <w:rPr>
                <w:rFonts w:asciiTheme="minorHAnsi" w:hAnsiTheme="minorHAnsi" w:cstheme="minorHAnsi"/>
                <w:sz w:val="20"/>
                <w:szCs w:val="20"/>
              </w:rPr>
            </w:pPr>
          </w:p>
          <w:p w14:paraId="4B97277A" w14:textId="77777777" w:rsidR="00D02850" w:rsidRDefault="00D02850" w:rsidP="007B663A">
            <w:pPr>
              <w:jc w:val="both"/>
              <w:rPr>
                <w:rFonts w:asciiTheme="minorHAnsi" w:hAnsiTheme="minorHAnsi" w:cstheme="minorHAnsi"/>
                <w:sz w:val="20"/>
                <w:szCs w:val="20"/>
              </w:rPr>
            </w:pPr>
          </w:p>
          <w:p w14:paraId="56C82E25" w14:textId="77777777" w:rsidR="00D02850" w:rsidRDefault="00D02850" w:rsidP="007B663A">
            <w:pPr>
              <w:jc w:val="both"/>
              <w:rPr>
                <w:rFonts w:asciiTheme="minorHAnsi" w:hAnsiTheme="minorHAnsi" w:cstheme="minorHAnsi"/>
                <w:sz w:val="20"/>
                <w:szCs w:val="20"/>
              </w:rPr>
            </w:pPr>
          </w:p>
          <w:p w14:paraId="5670C167" w14:textId="77777777" w:rsidR="00D02850" w:rsidRDefault="00D02850" w:rsidP="007B663A">
            <w:pPr>
              <w:jc w:val="both"/>
              <w:rPr>
                <w:rFonts w:asciiTheme="minorHAnsi" w:hAnsiTheme="minorHAnsi" w:cstheme="minorHAnsi"/>
                <w:sz w:val="20"/>
                <w:szCs w:val="20"/>
              </w:rPr>
            </w:pPr>
          </w:p>
          <w:p w14:paraId="5A204017" w14:textId="77777777" w:rsidR="00D02850" w:rsidRDefault="00D02850" w:rsidP="007B663A">
            <w:pPr>
              <w:jc w:val="both"/>
              <w:rPr>
                <w:rFonts w:asciiTheme="minorHAnsi" w:hAnsiTheme="minorHAnsi" w:cstheme="minorHAnsi"/>
                <w:sz w:val="20"/>
                <w:szCs w:val="20"/>
              </w:rPr>
            </w:pPr>
          </w:p>
          <w:p w14:paraId="5B96182C" w14:textId="77777777" w:rsidR="00D02850" w:rsidRDefault="00D02850" w:rsidP="007B663A">
            <w:pPr>
              <w:jc w:val="both"/>
              <w:rPr>
                <w:rFonts w:asciiTheme="minorHAnsi" w:hAnsiTheme="minorHAnsi" w:cstheme="minorHAnsi"/>
                <w:sz w:val="20"/>
                <w:szCs w:val="20"/>
              </w:rPr>
            </w:pPr>
          </w:p>
          <w:p w14:paraId="66D8B465" w14:textId="77777777" w:rsidR="00D02850" w:rsidRDefault="00D02850" w:rsidP="007B663A">
            <w:pPr>
              <w:jc w:val="both"/>
              <w:rPr>
                <w:rFonts w:asciiTheme="minorHAnsi" w:hAnsiTheme="minorHAnsi" w:cstheme="minorHAnsi"/>
                <w:sz w:val="20"/>
                <w:szCs w:val="20"/>
              </w:rPr>
            </w:pPr>
          </w:p>
          <w:p w14:paraId="1F5778AD" w14:textId="77777777" w:rsidR="00D02850" w:rsidRDefault="00D02850" w:rsidP="007B663A">
            <w:pPr>
              <w:jc w:val="both"/>
              <w:rPr>
                <w:rFonts w:asciiTheme="minorHAnsi" w:hAnsiTheme="minorHAnsi" w:cstheme="minorHAnsi"/>
                <w:sz w:val="20"/>
                <w:szCs w:val="20"/>
              </w:rPr>
            </w:pPr>
          </w:p>
          <w:p w14:paraId="0B0B0B04" w14:textId="77777777" w:rsidR="00D02850" w:rsidRDefault="00D02850" w:rsidP="007B663A">
            <w:pPr>
              <w:jc w:val="both"/>
              <w:rPr>
                <w:rFonts w:asciiTheme="minorHAnsi" w:hAnsiTheme="minorHAnsi" w:cstheme="minorHAnsi"/>
                <w:sz w:val="20"/>
                <w:szCs w:val="20"/>
              </w:rPr>
            </w:pPr>
          </w:p>
          <w:p w14:paraId="08DF87CA" w14:textId="77777777" w:rsidR="00D02850" w:rsidRDefault="00D02850" w:rsidP="007B663A">
            <w:pPr>
              <w:jc w:val="both"/>
              <w:rPr>
                <w:rFonts w:asciiTheme="minorHAnsi" w:hAnsiTheme="minorHAnsi" w:cstheme="minorHAnsi"/>
                <w:sz w:val="20"/>
                <w:szCs w:val="20"/>
              </w:rPr>
            </w:pPr>
          </w:p>
          <w:p w14:paraId="1EDCA008" w14:textId="77777777" w:rsidR="00D02850" w:rsidRDefault="00D02850" w:rsidP="007B663A">
            <w:pPr>
              <w:jc w:val="both"/>
              <w:rPr>
                <w:rFonts w:asciiTheme="minorHAnsi" w:hAnsiTheme="minorHAnsi" w:cstheme="minorHAnsi"/>
                <w:sz w:val="20"/>
                <w:szCs w:val="20"/>
              </w:rPr>
            </w:pPr>
          </w:p>
          <w:p w14:paraId="18A937A7" w14:textId="77777777" w:rsidR="00D02850" w:rsidRDefault="00D02850" w:rsidP="007B663A">
            <w:pPr>
              <w:jc w:val="both"/>
              <w:rPr>
                <w:rFonts w:asciiTheme="minorHAnsi" w:hAnsiTheme="minorHAnsi" w:cstheme="minorHAnsi"/>
                <w:sz w:val="20"/>
                <w:szCs w:val="20"/>
              </w:rPr>
            </w:pPr>
          </w:p>
          <w:p w14:paraId="6CEF35FA" w14:textId="77777777" w:rsidR="00D02850" w:rsidRDefault="00D02850" w:rsidP="007B663A">
            <w:pPr>
              <w:jc w:val="both"/>
              <w:rPr>
                <w:rFonts w:asciiTheme="minorHAnsi" w:hAnsiTheme="minorHAnsi" w:cstheme="minorHAnsi"/>
                <w:sz w:val="20"/>
                <w:szCs w:val="20"/>
              </w:rPr>
            </w:pPr>
          </w:p>
          <w:p w14:paraId="14AA9DF5" w14:textId="55279B47" w:rsidR="007B663A" w:rsidRDefault="00D02850" w:rsidP="007B663A">
            <w:pPr>
              <w:jc w:val="both"/>
              <w:rPr>
                <w:rFonts w:asciiTheme="minorHAnsi" w:hAnsiTheme="minorHAnsi" w:cstheme="minorHAnsi"/>
                <w:sz w:val="20"/>
                <w:szCs w:val="20"/>
              </w:rPr>
            </w:pPr>
            <w:r>
              <w:rPr>
                <w:rFonts w:asciiTheme="minorHAnsi" w:hAnsiTheme="minorHAnsi" w:cstheme="minorHAnsi"/>
                <w:sz w:val="20"/>
                <w:szCs w:val="20"/>
              </w:rPr>
              <w:t>HAKOM prihvaća prijedlog HT-a te će u troškovnom modelu uskladiti navedi iznos troškova</w:t>
            </w:r>
            <w:r w:rsidR="00124468">
              <w:rPr>
                <w:rFonts w:asciiTheme="minorHAnsi" w:hAnsiTheme="minorHAnsi" w:cstheme="minorHAnsi"/>
                <w:sz w:val="20"/>
                <w:szCs w:val="20"/>
              </w:rPr>
              <w:t xml:space="preserve"> za </w:t>
            </w:r>
            <w:proofErr w:type="spellStart"/>
            <w:r w:rsidR="00124468">
              <w:rPr>
                <w:rFonts w:asciiTheme="minorHAnsi" w:hAnsiTheme="minorHAnsi" w:cstheme="minorHAnsi"/>
                <w:sz w:val="20"/>
                <w:szCs w:val="20"/>
              </w:rPr>
              <w:t>FTTB</w:t>
            </w:r>
            <w:proofErr w:type="spellEnd"/>
            <w:r w:rsidR="00124468">
              <w:rPr>
                <w:rFonts w:asciiTheme="minorHAnsi" w:hAnsiTheme="minorHAnsi" w:cstheme="minorHAnsi"/>
                <w:sz w:val="20"/>
                <w:szCs w:val="20"/>
              </w:rPr>
              <w:t xml:space="preserve"> i </w:t>
            </w:r>
            <w:proofErr w:type="spellStart"/>
            <w:r w:rsidR="00124468">
              <w:rPr>
                <w:rFonts w:asciiTheme="minorHAnsi" w:hAnsiTheme="minorHAnsi" w:cstheme="minorHAnsi"/>
                <w:sz w:val="20"/>
                <w:szCs w:val="20"/>
              </w:rPr>
              <w:t>FTTDP</w:t>
            </w:r>
            <w:proofErr w:type="spellEnd"/>
            <w:r w:rsidR="00124468">
              <w:rPr>
                <w:rFonts w:asciiTheme="minorHAnsi" w:hAnsiTheme="minorHAnsi" w:cstheme="minorHAnsi"/>
                <w:sz w:val="20"/>
                <w:szCs w:val="20"/>
              </w:rPr>
              <w:t xml:space="preserve"> uređaje </w:t>
            </w:r>
            <w:r w:rsidR="00124468" w:rsidRPr="00124468">
              <w:rPr>
                <w:rFonts w:asciiTheme="minorHAnsi" w:hAnsiTheme="minorHAnsi" w:cstheme="minorHAnsi"/>
                <w:sz w:val="20"/>
                <w:szCs w:val="20"/>
              </w:rPr>
              <w:t>(</w:t>
            </w:r>
            <w:proofErr w:type="spellStart"/>
            <w:r w:rsidR="00124468" w:rsidRPr="00124468">
              <w:rPr>
                <w:rFonts w:asciiTheme="minorHAnsi" w:hAnsiTheme="minorHAnsi" w:cstheme="minorHAnsi"/>
                <w:sz w:val="20"/>
                <w:szCs w:val="20"/>
              </w:rPr>
              <w:t>FTTB</w:t>
            </w:r>
            <w:proofErr w:type="spellEnd"/>
            <w:r w:rsidR="00124468" w:rsidRPr="00124468">
              <w:rPr>
                <w:rFonts w:asciiTheme="minorHAnsi" w:hAnsiTheme="minorHAnsi" w:cstheme="minorHAnsi"/>
                <w:sz w:val="20"/>
                <w:szCs w:val="20"/>
              </w:rPr>
              <w:t>/</w:t>
            </w:r>
            <w:proofErr w:type="spellStart"/>
            <w:r w:rsidR="00124468" w:rsidRPr="00124468">
              <w:rPr>
                <w:rFonts w:asciiTheme="minorHAnsi" w:hAnsiTheme="minorHAnsi" w:cstheme="minorHAnsi"/>
                <w:sz w:val="20"/>
                <w:szCs w:val="20"/>
              </w:rPr>
              <w:t>FTTDP</w:t>
            </w:r>
            <w:proofErr w:type="spellEnd"/>
            <w:r w:rsidR="00124468" w:rsidRPr="00124468">
              <w:rPr>
                <w:rFonts w:asciiTheme="minorHAnsi" w:hAnsiTheme="minorHAnsi" w:cstheme="minorHAnsi"/>
                <w:sz w:val="20"/>
                <w:szCs w:val="20"/>
              </w:rPr>
              <w:t xml:space="preserve"> </w:t>
            </w:r>
            <w:proofErr w:type="spellStart"/>
            <w:r w:rsidR="00124468" w:rsidRPr="00124468">
              <w:rPr>
                <w:rFonts w:asciiTheme="minorHAnsi" w:hAnsiTheme="minorHAnsi" w:cstheme="minorHAnsi"/>
                <w:sz w:val="20"/>
                <w:szCs w:val="20"/>
              </w:rPr>
              <w:t>DSLAM.FTTB</w:t>
            </w:r>
            <w:proofErr w:type="spellEnd"/>
            <w:r w:rsidR="00124468" w:rsidRPr="00124468">
              <w:rPr>
                <w:rFonts w:asciiTheme="minorHAnsi" w:hAnsiTheme="minorHAnsi" w:cstheme="minorHAnsi"/>
                <w:sz w:val="20"/>
                <w:szCs w:val="20"/>
              </w:rPr>
              <w:t>/</w:t>
            </w:r>
            <w:proofErr w:type="spellStart"/>
            <w:r w:rsidR="00124468" w:rsidRPr="00124468">
              <w:rPr>
                <w:rFonts w:asciiTheme="minorHAnsi" w:hAnsiTheme="minorHAnsi" w:cstheme="minorHAnsi"/>
                <w:sz w:val="20"/>
                <w:szCs w:val="20"/>
              </w:rPr>
              <w:t>FTTDP</w:t>
            </w:r>
            <w:proofErr w:type="spellEnd"/>
            <w:r w:rsidR="00124468" w:rsidRPr="00124468">
              <w:rPr>
                <w:rFonts w:asciiTheme="minorHAnsi" w:hAnsiTheme="minorHAnsi" w:cstheme="minorHAnsi"/>
                <w:sz w:val="20"/>
                <w:szCs w:val="20"/>
              </w:rPr>
              <w:t xml:space="preserve"> </w:t>
            </w:r>
            <w:proofErr w:type="spellStart"/>
            <w:r w:rsidR="00124468" w:rsidRPr="00124468">
              <w:rPr>
                <w:rFonts w:asciiTheme="minorHAnsi" w:hAnsiTheme="minorHAnsi" w:cstheme="minorHAnsi"/>
                <w:sz w:val="20"/>
                <w:szCs w:val="20"/>
              </w:rPr>
              <w:t>DSLAM</w:t>
            </w:r>
            <w:proofErr w:type="spellEnd"/>
            <w:r w:rsidR="00124468" w:rsidRPr="00124468">
              <w:rPr>
                <w:rFonts w:asciiTheme="minorHAnsi" w:hAnsiTheme="minorHAnsi" w:cstheme="minorHAnsi"/>
                <w:sz w:val="20"/>
                <w:szCs w:val="20"/>
              </w:rPr>
              <w:t xml:space="preserve">.# </w:t>
            </w:r>
            <w:proofErr w:type="spellStart"/>
            <w:r w:rsidR="00124468" w:rsidRPr="00124468">
              <w:rPr>
                <w:rFonts w:asciiTheme="minorHAnsi" w:hAnsiTheme="minorHAnsi" w:cstheme="minorHAnsi"/>
                <w:sz w:val="20"/>
                <w:szCs w:val="20"/>
              </w:rPr>
              <w:t>of</w:t>
            </w:r>
            <w:proofErr w:type="spellEnd"/>
            <w:r w:rsidR="00124468" w:rsidRPr="00124468">
              <w:rPr>
                <w:rFonts w:asciiTheme="minorHAnsi" w:hAnsiTheme="minorHAnsi" w:cstheme="minorHAnsi"/>
                <w:sz w:val="20"/>
                <w:szCs w:val="20"/>
              </w:rPr>
              <w:t xml:space="preserve"> </w:t>
            </w:r>
            <w:proofErr w:type="spellStart"/>
            <w:r w:rsidR="00124468" w:rsidRPr="00124468">
              <w:rPr>
                <w:rFonts w:asciiTheme="minorHAnsi" w:hAnsiTheme="minorHAnsi" w:cstheme="minorHAnsi"/>
                <w:sz w:val="20"/>
                <w:szCs w:val="20"/>
              </w:rPr>
              <w:t>DSLAMs</w:t>
            </w:r>
            <w:proofErr w:type="spellEnd"/>
            <w:r w:rsidR="00124468" w:rsidRPr="00124468">
              <w:rPr>
                <w:rFonts w:asciiTheme="minorHAnsi" w:hAnsiTheme="minorHAnsi" w:cstheme="minorHAnsi"/>
                <w:sz w:val="20"/>
                <w:szCs w:val="20"/>
              </w:rPr>
              <w:t>)</w:t>
            </w:r>
            <w:r w:rsidR="00810A8F">
              <w:rPr>
                <w:rFonts w:asciiTheme="minorHAnsi" w:hAnsiTheme="minorHAnsi" w:cstheme="minorHAnsi"/>
                <w:sz w:val="20"/>
                <w:szCs w:val="20"/>
              </w:rPr>
              <w:t>.</w:t>
            </w:r>
          </w:p>
          <w:p w14:paraId="280703E0" w14:textId="77777777" w:rsidR="00124468" w:rsidRDefault="00124468" w:rsidP="007B663A">
            <w:pPr>
              <w:jc w:val="both"/>
              <w:rPr>
                <w:rFonts w:asciiTheme="minorHAnsi" w:hAnsiTheme="minorHAnsi" w:cstheme="minorHAnsi"/>
                <w:sz w:val="20"/>
                <w:szCs w:val="20"/>
              </w:rPr>
            </w:pPr>
          </w:p>
          <w:p w14:paraId="28218C9C" w14:textId="77777777" w:rsidR="00124468" w:rsidRDefault="00124468" w:rsidP="007B663A">
            <w:pPr>
              <w:jc w:val="both"/>
              <w:rPr>
                <w:rFonts w:asciiTheme="minorHAnsi" w:hAnsiTheme="minorHAnsi" w:cstheme="minorHAnsi"/>
                <w:sz w:val="20"/>
                <w:szCs w:val="20"/>
              </w:rPr>
            </w:pPr>
          </w:p>
          <w:p w14:paraId="6D2DAF4D" w14:textId="77777777" w:rsidR="00124468" w:rsidRDefault="00124468" w:rsidP="007B663A">
            <w:pPr>
              <w:jc w:val="both"/>
              <w:rPr>
                <w:rFonts w:asciiTheme="minorHAnsi" w:hAnsiTheme="minorHAnsi" w:cstheme="minorHAnsi"/>
                <w:sz w:val="20"/>
                <w:szCs w:val="20"/>
              </w:rPr>
            </w:pPr>
          </w:p>
          <w:p w14:paraId="0CFBAF17" w14:textId="77777777" w:rsidR="00953CC2" w:rsidRDefault="00953CC2" w:rsidP="007B663A">
            <w:pPr>
              <w:jc w:val="both"/>
              <w:rPr>
                <w:rFonts w:asciiTheme="minorHAnsi" w:hAnsiTheme="minorHAnsi" w:cstheme="minorHAnsi"/>
                <w:sz w:val="20"/>
                <w:szCs w:val="20"/>
              </w:rPr>
            </w:pPr>
          </w:p>
          <w:p w14:paraId="5308FC82" w14:textId="77777777" w:rsidR="00953CC2" w:rsidRDefault="00953CC2" w:rsidP="007B663A">
            <w:pPr>
              <w:jc w:val="both"/>
              <w:rPr>
                <w:rFonts w:asciiTheme="minorHAnsi" w:hAnsiTheme="minorHAnsi" w:cstheme="minorHAnsi"/>
                <w:sz w:val="20"/>
                <w:szCs w:val="20"/>
              </w:rPr>
            </w:pPr>
          </w:p>
          <w:p w14:paraId="58BBAEA2" w14:textId="07CEAD27" w:rsidR="00130955" w:rsidRDefault="00124468" w:rsidP="007B663A">
            <w:pPr>
              <w:jc w:val="both"/>
              <w:rPr>
                <w:rFonts w:asciiTheme="minorHAnsi" w:hAnsiTheme="minorHAnsi" w:cstheme="minorHAnsi"/>
                <w:sz w:val="20"/>
                <w:szCs w:val="20"/>
              </w:rPr>
            </w:pPr>
            <w:r>
              <w:rPr>
                <w:rFonts w:asciiTheme="minorHAnsi" w:hAnsiTheme="minorHAnsi" w:cstheme="minorHAnsi"/>
                <w:sz w:val="20"/>
                <w:szCs w:val="20"/>
              </w:rPr>
              <w:t xml:space="preserve">HAKOM je sukladno metodološkom načelima odredio jedinične vrijednosti </w:t>
            </w:r>
            <w:proofErr w:type="spellStart"/>
            <w:r>
              <w:rPr>
                <w:rFonts w:asciiTheme="minorHAnsi" w:hAnsiTheme="minorHAnsi" w:cstheme="minorHAnsi"/>
                <w:sz w:val="20"/>
                <w:szCs w:val="20"/>
              </w:rPr>
              <w:t>OPEX</w:t>
            </w:r>
            <w:proofErr w:type="spellEnd"/>
            <w:r>
              <w:rPr>
                <w:rFonts w:asciiTheme="minorHAnsi" w:hAnsiTheme="minorHAnsi" w:cstheme="minorHAnsi"/>
                <w:sz w:val="20"/>
                <w:szCs w:val="20"/>
              </w:rPr>
              <w:t xml:space="preserve"> troškova za mrežne elemente u modelu na način</w:t>
            </w:r>
            <w:r w:rsidR="00251960">
              <w:rPr>
                <w:rFonts w:asciiTheme="minorHAnsi" w:hAnsiTheme="minorHAnsi" w:cstheme="minorHAnsi"/>
                <w:sz w:val="20"/>
                <w:szCs w:val="20"/>
              </w:rPr>
              <w:t xml:space="preserve"> da</w:t>
            </w:r>
            <w:r>
              <w:rPr>
                <w:rFonts w:asciiTheme="minorHAnsi" w:hAnsiTheme="minorHAnsi" w:cstheme="minorHAnsi"/>
                <w:sz w:val="20"/>
                <w:szCs w:val="20"/>
              </w:rPr>
              <w:t xml:space="preserve"> je za svaki modelirani mrežni element</w:t>
            </w:r>
            <w:r w:rsidR="00251960">
              <w:rPr>
                <w:rFonts w:asciiTheme="minorHAnsi" w:hAnsiTheme="minorHAnsi" w:cstheme="minorHAnsi"/>
                <w:sz w:val="20"/>
                <w:szCs w:val="20"/>
              </w:rPr>
              <w:t xml:space="preserve"> izračunao jedinični </w:t>
            </w:r>
            <w:proofErr w:type="spellStart"/>
            <w:r w:rsidR="00251960">
              <w:rPr>
                <w:rFonts w:asciiTheme="minorHAnsi" w:hAnsiTheme="minorHAnsi" w:cstheme="minorHAnsi"/>
                <w:sz w:val="20"/>
                <w:szCs w:val="20"/>
              </w:rPr>
              <w:t>OPEX</w:t>
            </w:r>
            <w:proofErr w:type="spellEnd"/>
            <w:r w:rsidR="00251960">
              <w:rPr>
                <w:rFonts w:asciiTheme="minorHAnsi" w:hAnsiTheme="minorHAnsi" w:cstheme="minorHAnsi"/>
                <w:sz w:val="20"/>
                <w:szCs w:val="20"/>
              </w:rPr>
              <w:t xml:space="preserve"> na temelju (%) postotka od jediničnog </w:t>
            </w:r>
            <w:proofErr w:type="spellStart"/>
            <w:r w:rsidR="00251960">
              <w:rPr>
                <w:rFonts w:asciiTheme="minorHAnsi" w:hAnsiTheme="minorHAnsi" w:cstheme="minorHAnsi"/>
                <w:sz w:val="20"/>
                <w:szCs w:val="20"/>
              </w:rPr>
              <w:t>CAPEX</w:t>
            </w:r>
            <w:proofErr w:type="spellEnd"/>
            <w:r w:rsidR="00251960">
              <w:rPr>
                <w:rFonts w:asciiTheme="minorHAnsi" w:hAnsiTheme="minorHAnsi" w:cstheme="minorHAnsi"/>
                <w:sz w:val="20"/>
                <w:szCs w:val="20"/>
              </w:rPr>
              <w:t>-a</w:t>
            </w:r>
            <w:r w:rsidR="00AA406E">
              <w:rPr>
                <w:rFonts w:asciiTheme="minorHAnsi" w:hAnsiTheme="minorHAnsi" w:cstheme="minorHAnsi"/>
                <w:sz w:val="20"/>
                <w:szCs w:val="20"/>
              </w:rPr>
              <w:t xml:space="preserve"> za pojedini mrežni element</w:t>
            </w:r>
            <w:r w:rsidR="0065308E">
              <w:rPr>
                <w:rFonts w:asciiTheme="minorHAnsi" w:hAnsiTheme="minorHAnsi" w:cstheme="minorHAnsi"/>
                <w:sz w:val="20"/>
                <w:szCs w:val="20"/>
              </w:rPr>
              <w:t>. Naime, HAKOM je u postupku</w:t>
            </w:r>
            <w:r w:rsidR="00D32705">
              <w:rPr>
                <w:rFonts w:asciiTheme="minorHAnsi" w:hAnsiTheme="minorHAnsi" w:cstheme="minorHAnsi"/>
                <w:sz w:val="20"/>
                <w:szCs w:val="20"/>
              </w:rPr>
              <w:t xml:space="preserve"> </w:t>
            </w:r>
            <w:r w:rsidR="0065308E">
              <w:rPr>
                <w:rFonts w:asciiTheme="minorHAnsi" w:hAnsiTheme="minorHAnsi" w:cstheme="minorHAnsi"/>
                <w:sz w:val="20"/>
                <w:szCs w:val="20"/>
              </w:rPr>
              <w:lastRenderedPageBreak/>
              <w:t>izračuna jedinični</w:t>
            </w:r>
            <w:r w:rsidR="00D32705">
              <w:rPr>
                <w:rFonts w:asciiTheme="minorHAnsi" w:hAnsiTheme="minorHAnsi" w:cstheme="minorHAnsi"/>
                <w:sz w:val="20"/>
                <w:szCs w:val="20"/>
              </w:rPr>
              <w:t>h</w:t>
            </w:r>
            <w:r w:rsidR="0065308E">
              <w:rPr>
                <w:rFonts w:asciiTheme="minorHAnsi" w:hAnsiTheme="minorHAnsi" w:cstheme="minorHAnsi"/>
                <w:sz w:val="20"/>
                <w:szCs w:val="20"/>
              </w:rPr>
              <w:t xml:space="preserve"> </w:t>
            </w:r>
            <w:proofErr w:type="spellStart"/>
            <w:r w:rsidR="0065308E">
              <w:rPr>
                <w:rFonts w:asciiTheme="minorHAnsi" w:hAnsiTheme="minorHAnsi" w:cstheme="minorHAnsi"/>
                <w:sz w:val="20"/>
                <w:szCs w:val="20"/>
              </w:rPr>
              <w:t>OPEX</w:t>
            </w:r>
            <w:proofErr w:type="spellEnd"/>
            <w:r w:rsidR="0065308E">
              <w:rPr>
                <w:rFonts w:asciiTheme="minorHAnsi" w:hAnsiTheme="minorHAnsi" w:cstheme="minorHAnsi"/>
                <w:sz w:val="20"/>
                <w:szCs w:val="20"/>
              </w:rPr>
              <w:t xml:space="preserve"> troškova koristio podatke koji su u velikoj većini dostavljeni u procesu prikupljanja podataka od strane HT-a.</w:t>
            </w:r>
            <w:r w:rsidR="00C40E4B">
              <w:rPr>
                <w:rFonts w:asciiTheme="minorHAnsi" w:hAnsiTheme="minorHAnsi" w:cstheme="minorHAnsi"/>
                <w:sz w:val="20"/>
                <w:szCs w:val="20"/>
              </w:rPr>
              <w:t xml:space="preserve"> Naime</w:t>
            </w:r>
            <w:r w:rsidR="0065308E">
              <w:rPr>
                <w:rFonts w:asciiTheme="minorHAnsi" w:hAnsiTheme="minorHAnsi" w:cstheme="minorHAnsi"/>
                <w:sz w:val="20"/>
                <w:szCs w:val="20"/>
              </w:rPr>
              <w:t>, HT</w:t>
            </w:r>
            <w:r w:rsidR="00C40E4B">
              <w:rPr>
                <w:rFonts w:asciiTheme="minorHAnsi" w:hAnsiTheme="minorHAnsi" w:cstheme="minorHAnsi"/>
                <w:sz w:val="20"/>
                <w:szCs w:val="20"/>
              </w:rPr>
              <w:t xml:space="preserve"> je</w:t>
            </w:r>
            <w:r w:rsidR="0065308E">
              <w:rPr>
                <w:rFonts w:asciiTheme="minorHAnsi" w:hAnsiTheme="minorHAnsi" w:cstheme="minorHAnsi"/>
                <w:sz w:val="20"/>
                <w:szCs w:val="20"/>
              </w:rPr>
              <w:t xml:space="preserve"> u procesu prikupljanja podataka dostavio uglavnom veće jedinične </w:t>
            </w:r>
            <w:proofErr w:type="spellStart"/>
            <w:r w:rsidR="0065308E">
              <w:rPr>
                <w:rFonts w:asciiTheme="minorHAnsi" w:hAnsiTheme="minorHAnsi" w:cstheme="minorHAnsi"/>
                <w:sz w:val="20"/>
                <w:szCs w:val="20"/>
              </w:rPr>
              <w:t>CAPEX</w:t>
            </w:r>
            <w:proofErr w:type="spellEnd"/>
            <w:r w:rsidR="0065308E">
              <w:rPr>
                <w:rFonts w:asciiTheme="minorHAnsi" w:hAnsiTheme="minorHAnsi" w:cstheme="minorHAnsi"/>
                <w:sz w:val="20"/>
                <w:szCs w:val="20"/>
              </w:rPr>
              <w:t xml:space="preserve"> troškove </w:t>
            </w:r>
            <w:r w:rsidR="00AA406E">
              <w:rPr>
                <w:rFonts w:asciiTheme="minorHAnsi" w:hAnsiTheme="minorHAnsi" w:cstheme="minorHAnsi"/>
                <w:sz w:val="20"/>
                <w:szCs w:val="20"/>
              </w:rPr>
              <w:t>za mrežne elemente nego</w:t>
            </w:r>
            <w:r w:rsidR="0065308E">
              <w:rPr>
                <w:rFonts w:asciiTheme="minorHAnsi" w:hAnsiTheme="minorHAnsi" w:cstheme="minorHAnsi"/>
                <w:sz w:val="20"/>
                <w:szCs w:val="20"/>
              </w:rPr>
              <w:t xml:space="preserve"> prilikom izrade inic</w:t>
            </w:r>
            <w:r w:rsidR="001E4AB0">
              <w:rPr>
                <w:rFonts w:asciiTheme="minorHAnsi" w:hAnsiTheme="minorHAnsi" w:cstheme="minorHAnsi"/>
                <w:sz w:val="20"/>
                <w:szCs w:val="20"/>
              </w:rPr>
              <w:t>ijalnog troškovnog modela</w:t>
            </w:r>
            <w:r w:rsidR="00D32705">
              <w:rPr>
                <w:rFonts w:asciiTheme="minorHAnsi" w:hAnsiTheme="minorHAnsi" w:cstheme="minorHAnsi"/>
                <w:sz w:val="20"/>
                <w:szCs w:val="20"/>
              </w:rPr>
              <w:t>.</w:t>
            </w:r>
            <w:r w:rsidR="00C40E4B">
              <w:rPr>
                <w:rFonts w:asciiTheme="minorHAnsi" w:hAnsiTheme="minorHAnsi" w:cstheme="minorHAnsi"/>
                <w:sz w:val="20"/>
                <w:szCs w:val="20"/>
              </w:rPr>
              <w:t xml:space="preserve"> Također, HT je dostavio značajno veću vrijednost za (%) postotak za izračun jediničnog </w:t>
            </w:r>
            <w:proofErr w:type="spellStart"/>
            <w:r w:rsidR="00C40E4B">
              <w:rPr>
                <w:rFonts w:asciiTheme="minorHAnsi" w:hAnsiTheme="minorHAnsi" w:cstheme="minorHAnsi"/>
                <w:sz w:val="20"/>
                <w:szCs w:val="20"/>
              </w:rPr>
              <w:t>OPEX</w:t>
            </w:r>
            <w:proofErr w:type="spellEnd"/>
            <w:r w:rsidR="00C40E4B">
              <w:rPr>
                <w:rFonts w:asciiTheme="minorHAnsi" w:hAnsiTheme="minorHAnsi" w:cstheme="minorHAnsi"/>
                <w:sz w:val="20"/>
                <w:szCs w:val="20"/>
              </w:rPr>
              <w:t xml:space="preserve">-a u odnosu na inicijalni model, u prosjeku veći za cca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C40E4B" w:rsidRPr="00C14C99">
              <w:rPr>
                <w:rFonts w:asciiTheme="minorHAnsi" w:hAnsiTheme="minorHAnsi" w:cstheme="minorHAnsi"/>
                <w:sz w:val="20"/>
                <w:szCs w:val="20"/>
              </w:rPr>
              <w:t>%</w:t>
            </w:r>
            <w:r w:rsidR="00C40E4B">
              <w:rPr>
                <w:rFonts w:asciiTheme="minorHAnsi" w:hAnsiTheme="minorHAnsi" w:cstheme="minorHAnsi"/>
                <w:sz w:val="20"/>
                <w:szCs w:val="20"/>
              </w:rPr>
              <w:t>.</w:t>
            </w:r>
            <w:r w:rsidR="001E4AB0">
              <w:rPr>
                <w:rFonts w:asciiTheme="minorHAnsi" w:hAnsiTheme="minorHAnsi" w:cstheme="minorHAnsi"/>
                <w:sz w:val="20"/>
                <w:szCs w:val="20"/>
              </w:rPr>
              <w:t xml:space="preserve"> </w:t>
            </w:r>
            <w:r w:rsidR="00C40E4B">
              <w:rPr>
                <w:rFonts w:asciiTheme="minorHAnsi" w:hAnsiTheme="minorHAnsi" w:cstheme="minorHAnsi"/>
                <w:sz w:val="20"/>
                <w:szCs w:val="20"/>
              </w:rPr>
              <w:t>Međutim</w:t>
            </w:r>
            <w:r w:rsidR="001E4AB0">
              <w:rPr>
                <w:rFonts w:asciiTheme="minorHAnsi" w:hAnsiTheme="minorHAnsi" w:cstheme="minorHAnsi"/>
                <w:sz w:val="20"/>
                <w:szCs w:val="20"/>
              </w:rPr>
              <w:t>,</w:t>
            </w:r>
            <w:r w:rsidR="00C40E4B">
              <w:rPr>
                <w:rFonts w:asciiTheme="minorHAnsi" w:hAnsiTheme="minorHAnsi" w:cstheme="minorHAnsi"/>
                <w:sz w:val="20"/>
                <w:szCs w:val="20"/>
              </w:rPr>
              <w:t xml:space="preserve"> u postupku određivanja jediničnog </w:t>
            </w:r>
            <w:proofErr w:type="spellStart"/>
            <w:r w:rsidR="00C40E4B">
              <w:rPr>
                <w:rFonts w:asciiTheme="minorHAnsi" w:hAnsiTheme="minorHAnsi" w:cstheme="minorHAnsi"/>
                <w:sz w:val="20"/>
                <w:szCs w:val="20"/>
              </w:rPr>
              <w:t>OPEX</w:t>
            </w:r>
            <w:proofErr w:type="spellEnd"/>
            <w:r w:rsidR="00C40E4B">
              <w:rPr>
                <w:rFonts w:asciiTheme="minorHAnsi" w:hAnsiTheme="minorHAnsi" w:cstheme="minorHAnsi"/>
                <w:sz w:val="20"/>
                <w:szCs w:val="20"/>
              </w:rPr>
              <w:t>-a u modelu,</w:t>
            </w:r>
            <w:r w:rsidR="001E4AB0">
              <w:rPr>
                <w:rFonts w:asciiTheme="minorHAnsi" w:hAnsiTheme="minorHAnsi" w:cstheme="minorHAnsi"/>
                <w:sz w:val="20"/>
                <w:szCs w:val="20"/>
              </w:rPr>
              <w:t xml:space="preserve"> HAKOM je za mrežne </w:t>
            </w:r>
            <w:proofErr w:type="spellStart"/>
            <w:r w:rsidR="001E4AB0">
              <w:rPr>
                <w:rFonts w:asciiTheme="minorHAnsi" w:hAnsiTheme="minorHAnsi" w:cstheme="minorHAnsi"/>
                <w:sz w:val="20"/>
                <w:szCs w:val="20"/>
              </w:rPr>
              <w:t>elemete</w:t>
            </w:r>
            <w:proofErr w:type="spellEnd"/>
            <w:r w:rsidR="001E4AB0">
              <w:rPr>
                <w:rFonts w:asciiTheme="minorHAnsi" w:hAnsiTheme="minorHAnsi" w:cstheme="minorHAnsi"/>
                <w:sz w:val="20"/>
                <w:szCs w:val="20"/>
              </w:rPr>
              <w:t xml:space="preserve"> za koje je prihvatio porast jediničnog </w:t>
            </w:r>
            <w:proofErr w:type="spellStart"/>
            <w:r w:rsidR="001E4AB0">
              <w:rPr>
                <w:rFonts w:asciiTheme="minorHAnsi" w:hAnsiTheme="minorHAnsi" w:cstheme="minorHAnsi"/>
                <w:sz w:val="20"/>
                <w:szCs w:val="20"/>
              </w:rPr>
              <w:t>CAPEX</w:t>
            </w:r>
            <w:proofErr w:type="spellEnd"/>
            <w:r w:rsidR="00130955">
              <w:rPr>
                <w:rFonts w:asciiTheme="minorHAnsi" w:hAnsiTheme="minorHAnsi" w:cstheme="minorHAnsi"/>
                <w:sz w:val="20"/>
                <w:szCs w:val="20"/>
              </w:rPr>
              <w:t xml:space="preserve">-a </w:t>
            </w:r>
            <w:r w:rsidR="001E4AB0">
              <w:rPr>
                <w:rFonts w:asciiTheme="minorHAnsi" w:hAnsiTheme="minorHAnsi" w:cstheme="minorHAnsi"/>
                <w:sz w:val="20"/>
                <w:szCs w:val="20"/>
              </w:rPr>
              <w:t xml:space="preserve">koristio (%) postotak </w:t>
            </w:r>
            <w:r w:rsidR="00130955">
              <w:rPr>
                <w:rFonts w:asciiTheme="minorHAnsi" w:hAnsiTheme="minorHAnsi" w:cstheme="minorHAnsi"/>
                <w:sz w:val="20"/>
                <w:szCs w:val="20"/>
              </w:rPr>
              <w:t>za izračun</w:t>
            </w:r>
            <w:r w:rsidR="001E4AB0">
              <w:rPr>
                <w:rFonts w:asciiTheme="minorHAnsi" w:hAnsiTheme="minorHAnsi" w:cstheme="minorHAnsi"/>
                <w:sz w:val="20"/>
                <w:szCs w:val="20"/>
              </w:rPr>
              <w:t xml:space="preserve"> </w:t>
            </w:r>
            <w:r w:rsidR="00130955">
              <w:rPr>
                <w:rFonts w:asciiTheme="minorHAnsi" w:hAnsiTheme="minorHAnsi" w:cstheme="minorHAnsi"/>
                <w:sz w:val="20"/>
                <w:szCs w:val="20"/>
              </w:rPr>
              <w:t xml:space="preserve">jediničnog </w:t>
            </w:r>
            <w:proofErr w:type="spellStart"/>
            <w:r w:rsidR="00130955">
              <w:rPr>
                <w:rFonts w:asciiTheme="minorHAnsi" w:hAnsiTheme="minorHAnsi" w:cstheme="minorHAnsi"/>
                <w:sz w:val="20"/>
                <w:szCs w:val="20"/>
              </w:rPr>
              <w:t>OPEX</w:t>
            </w:r>
            <w:proofErr w:type="spellEnd"/>
            <w:r w:rsidR="00130955">
              <w:rPr>
                <w:rFonts w:asciiTheme="minorHAnsi" w:hAnsiTheme="minorHAnsi" w:cstheme="minorHAnsi"/>
                <w:sz w:val="20"/>
                <w:szCs w:val="20"/>
              </w:rPr>
              <w:t>-a</w:t>
            </w:r>
            <w:r w:rsidR="001E4AB0">
              <w:rPr>
                <w:rFonts w:asciiTheme="minorHAnsi" w:hAnsiTheme="minorHAnsi" w:cstheme="minorHAnsi"/>
                <w:sz w:val="20"/>
                <w:szCs w:val="20"/>
              </w:rPr>
              <w:t xml:space="preserve"> koji je korišten u inicijalnom troškovnom modelu, dok</w:t>
            </w:r>
            <w:r w:rsidR="00130955">
              <w:rPr>
                <w:rFonts w:asciiTheme="minorHAnsi" w:hAnsiTheme="minorHAnsi" w:cstheme="minorHAnsi"/>
                <w:sz w:val="20"/>
                <w:szCs w:val="20"/>
              </w:rPr>
              <w:t xml:space="preserve"> je</w:t>
            </w:r>
            <w:r w:rsidR="001E4AB0">
              <w:rPr>
                <w:rFonts w:asciiTheme="minorHAnsi" w:hAnsiTheme="minorHAnsi" w:cstheme="minorHAnsi"/>
                <w:sz w:val="20"/>
                <w:szCs w:val="20"/>
              </w:rPr>
              <w:t xml:space="preserve"> za mrežne </w:t>
            </w:r>
            <w:proofErr w:type="spellStart"/>
            <w:r w:rsidR="001E4AB0">
              <w:rPr>
                <w:rFonts w:asciiTheme="minorHAnsi" w:hAnsiTheme="minorHAnsi" w:cstheme="minorHAnsi"/>
                <w:sz w:val="20"/>
                <w:szCs w:val="20"/>
              </w:rPr>
              <w:t>elemete</w:t>
            </w:r>
            <w:proofErr w:type="spellEnd"/>
            <w:r w:rsidR="001E4AB0">
              <w:rPr>
                <w:rFonts w:asciiTheme="minorHAnsi" w:hAnsiTheme="minorHAnsi" w:cstheme="minorHAnsi"/>
                <w:sz w:val="20"/>
                <w:szCs w:val="20"/>
              </w:rPr>
              <w:t xml:space="preserve"> za koje nije prihvati</w:t>
            </w:r>
            <w:r w:rsidR="009645C8">
              <w:rPr>
                <w:rFonts w:asciiTheme="minorHAnsi" w:hAnsiTheme="minorHAnsi" w:cstheme="minorHAnsi"/>
                <w:sz w:val="20"/>
                <w:szCs w:val="20"/>
              </w:rPr>
              <w:t>o</w:t>
            </w:r>
            <w:r w:rsidR="001E4AB0">
              <w:rPr>
                <w:rFonts w:asciiTheme="minorHAnsi" w:hAnsiTheme="minorHAnsi" w:cstheme="minorHAnsi"/>
                <w:sz w:val="20"/>
                <w:szCs w:val="20"/>
              </w:rPr>
              <w:t xml:space="preserve"> </w:t>
            </w:r>
            <w:r w:rsidR="00130955">
              <w:rPr>
                <w:rFonts w:asciiTheme="minorHAnsi" w:hAnsiTheme="minorHAnsi" w:cstheme="minorHAnsi"/>
                <w:sz w:val="20"/>
                <w:szCs w:val="20"/>
              </w:rPr>
              <w:t xml:space="preserve">veće vrijednosti jediničnog </w:t>
            </w:r>
            <w:proofErr w:type="spellStart"/>
            <w:r w:rsidR="00130955">
              <w:rPr>
                <w:rFonts w:asciiTheme="minorHAnsi" w:hAnsiTheme="minorHAnsi" w:cstheme="minorHAnsi"/>
                <w:sz w:val="20"/>
                <w:szCs w:val="20"/>
              </w:rPr>
              <w:t>CAPEX</w:t>
            </w:r>
            <w:proofErr w:type="spellEnd"/>
            <w:r w:rsidR="00130955">
              <w:rPr>
                <w:rFonts w:asciiTheme="minorHAnsi" w:hAnsiTheme="minorHAnsi" w:cstheme="minorHAnsi"/>
                <w:sz w:val="20"/>
                <w:szCs w:val="20"/>
              </w:rPr>
              <w:t>-a koristio (%) postotak koji je dostav</w:t>
            </w:r>
            <w:r w:rsidR="009645C8">
              <w:rPr>
                <w:rFonts w:asciiTheme="minorHAnsi" w:hAnsiTheme="minorHAnsi" w:cstheme="minorHAnsi"/>
                <w:sz w:val="20"/>
                <w:szCs w:val="20"/>
              </w:rPr>
              <w:t>io</w:t>
            </w:r>
            <w:r w:rsidR="00130955">
              <w:rPr>
                <w:rFonts w:asciiTheme="minorHAnsi" w:hAnsiTheme="minorHAnsi" w:cstheme="minorHAnsi"/>
                <w:sz w:val="20"/>
                <w:szCs w:val="20"/>
              </w:rPr>
              <w:t xml:space="preserve"> HT u procesu prikupljanja podataka.</w:t>
            </w:r>
          </w:p>
          <w:p w14:paraId="42E41CF2" w14:textId="77777777" w:rsidR="00124468" w:rsidRDefault="00124468" w:rsidP="007B663A">
            <w:pPr>
              <w:jc w:val="both"/>
              <w:rPr>
                <w:rFonts w:asciiTheme="minorHAnsi" w:hAnsiTheme="minorHAnsi" w:cstheme="minorHAnsi"/>
                <w:sz w:val="20"/>
                <w:szCs w:val="20"/>
              </w:rPr>
            </w:pPr>
          </w:p>
          <w:p w14:paraId="20EF7F0A" w14:textId="77777777" w:rsidR="00716DEF" w:rsidRDefault="00716DEF" w:rsidP="007B663A">
            <w:pPr>
              <w:jc w:val="both"/>
              <w:rPr>
                <w:rFonts w:asciiTheme="minorHAnsi" w:hAnsiTheme="minorHAnsi" w:cstheme="minorHAnsi"/>
                <w:sz w:val="20"/>
                <w:szCs w:val="20"/>
              </w:rPr>
            </w:pPr>
          </w:p>
          <w:p w14:paraId="1962DA23" w14:textId="77777777" w:rsidR="00716DEF" w:rsidRDefault="00716DEF" w:rsidP="007B663A">
            <w:pPr>
              <w:jc w:val="both"/>
              <w:rPr>
                <w:rFonts w:asciiTheme="minorHAnsi" w:hAnsiTheme="minorHAnsi" w:cstheme="minorHAnsi"/>
                <w:sz w:val="20"/>
                <w:szCs w:val="20"/>
              </w:rPr>
            </w:pPr>
          </w:p>
          <w:p w14:paraId="27576DFF" w14:textId="609C5D7A" w:rsidR="00716DEF" w:rsidRDefault="00716DEF" w:rsidP="007B663A">
            <w:pPr>
              <w:jc w:val="both"/>
              <w:rPr>
                <w:rFonts w:asciiTheme="minorHAnsi" w:hAnsiTheme="minorHAnsi" w:cstheme="minorHAnsi"/>
                <w:sz w:val="20"/>
                <w:szCs w:val="20"/>
              </w:rPr>
            </w:pPr>
          </w:p>
          <w:p w14:paraId="69BB05FB" w14:textId="2CE378D6" w:rsidR="00B06E7A" w:rsidRDefault="00B06E7A" w:rsidP="007B663A">
            <w:pPr>
              <w:jc w:val="both"/>
              <w:rPr>
                <w:rFonts w:asciiTheme="minorHAnsi" w:hAnsiTheme="minorHAnsi" w:cstheme="minorHAnsi"/>
                <w:sz w:val="20"/>
                <w:szCs w:val="20"/>
              </w:rPr>
            </w:pPr>
            <w:r>
              <w:rPr>
                <w:rFonts w:asciiTheme="minorHAnsi" w:hAnsiTheme="minorHAnsi" w:cstheme="minorHAnsi"/>
                <w:sz w:val="20"/>
                <w:szCs w:val="20"/>
              </w:rPr>
              <w:t>U inicijalnom troškovnom modelu</w:t>
            </w:r>
            <w:r w:rsidR="000A3D99">
              <w:rPr>
                <w:rFonts w:asciiTheme="minorHAnsi" w:hAnsiTheme="minorHAnsi" w:cstheme="minorHAnsi"/>
                <w:sz w:val="20"/>
                <w:szCs w:val="20"/>
              </w:rPr>
              <w:t>, HAKOM je, na temelju podataka o očekivanoj stopi inflacij</w:t>
            </w:r>
            <w:r w:rsidR="00435C3D">
              <w:rPr>
                <w:rFonts w:asciiTheme="minorHAnsi" w:hAnsiTheme="minorHAnsi" w:cstheme="minorHAnsi"/>
                <w:sz w:val="20"/>
                <w:szCs w:val="20"/>
              </w:rPr>
              <w:t>e</w:t>
            </w:r>
            <w:r w:rsidR="000A3D99">
              <w:rPr>
                <w:rFonts w:asciiTheme="minorHAnsi" w:hAnsiTheme="minorHAnsi" w:cstheme="minorHAnsi"/>
                <w:sz w:val="20"/>
                <w:szCs w:val="20"/>
              </w:rPr>
              <w:t xml:space="preserve"> u RH, odredio stope kretanja </w:t>
            </w:r>
            <w:proofErr w:type="spellStart"/>
            <w:r w:rsidR="000A3D99">
              <w:rPr>
                <w:rFonts w:asciiTheme="minorHAnsi" w:hAnsiTheme="minorHAnsi" w:cstheme="minorHAnsi"/>
                <w:sz w:val="20"/>
                <w:szCs w:val="20"/>
              </w:rPr>
              <w:t>OPEX</w:t>
            </w:r>
            <w:proofErr w:type="spellEnd"/>
            <w:r w:rsidR="000A3D99">
              <w:rPr>
                <w:rFonts w:asciiTheme="minorHAnsi" w:hAnsiTheme="minorHAnsi" w:cstheme="minorHAnsi"/>
                <w:sz w:val="20"/>
                <w:szCs w:val="20"/>
              </w:rPr>
              <w:t xml:space="preserve"> troškova za razdoblja od 2018. do 2027</w:t>
            </w:r>
            <w:r w:rsidR="00B43D4D">
              <w:rPr>
                <w:rFonts w:asciiTheme="minorHAnsi" w:hAnsiTheme="minorHAnsi" w:cstheme="minorHAnsi"/>
                <w:sz w:val="20"/>
                <w:szCs w:val="20"/>
              </w:rPr>
              <w:t>.</w:t>
            </w:r>
            <w:r w:rsidR="000A3D99">
              <w:rPr>
                <w:rFonts w:asciiTheme="minorHAnsi" w:hAnsiTheme="minorHAnsi" w:cstheme="minorHAnsi"/>
                <w:sz w:val="20"/>
                <w:szCs w:val="20"/>
              </w:rPr>
              <w:t xml:space="preserve"> </w:t>
            </w:r>
            <w:r w:rsidR="00B43D4D">
              <w:rPr>
                <w:rFonts w:asciiTheme="minorHAnsi" w:hAnsiTheme="minorHAnsi" w:cstheme="minorHAnsi"/>
                <w:sz w:val="20"/>
                <w:szCs w:val="20"/>
              </w:rPr>
              <w:t>V</w:t>
            </w:r>
            <w:r w:rsidR="000A3D99">
              <w:rPr>
                <w:rFonts w:asciiTheme="minorHAnsi" w:hAnsiTheme="minorHAnsi" w:cstheme="minorHAnsi"/>
                <w:sz w:val="20"/>
                <w:szCs w:val="20"/>
              </w:rPr>
              <w:t>ezano na navode kako u inicijalnom model</w:t>
            </w:r>
            <w:r w:rsidR="00B43D4D">
              <w:rPr>
                <w:rFonts w:asciiTheme="minorHAnsi" w:hAnsiTheme="minorHAnsi" w:cstheme="minorHAnsi"/>
                <w:sz w:val="20"/>
                <w:szCs w:val="20"/>
              </w:rPr>
              <w:t xml:space="preserve">u trend </w:t>
            </w:r>
            <w:proofErr w:type="spellStart"/>
            <w:r w:rsidR="00B43D4D">
              <w:rPr>
                <w:rFonts w:asciiTheme="minorHAnsi" w:hAnsiTheme="minorHAnsi" w:cstheme="minorHAnsi"/>
                <w:sz w:val="20"/>
                <w:szCs w:val="20"/>
              </w:rPr>
              <w:t>O</w:t>
            </w:r>
            <w:r w:rsidR="00B259C6">
              <w:rPr>
                <w:rFonts w:asciiTheme="minorHAnsi" w:hAnsiTheme="minorHAnsi" w:cstheme="minorHAnsi"/>
                <w:sz w:val="20"/>
                <w:szCs w:val="20"/>
              </w:rPr>
              <w:t>P</w:t>
            </w:r>
            <w:r w:rsidR="00B43D4D">
              <w:rPr>
                <w:rFonts w:asciiTheme="minorHAnsi" w:hAnsiTheme="minorHAnsi" w:cstheme="minorHAnsi"/>
                <w:sz w:val="20"/>
                <w:szCs w:val="20"/>
              </w:rPr>
              <w:t>EX</w:t>
            </w:r>
            <w:proofErr w:type="spellEnd"/>
            <w:r w:rsidR="00435C3D">
              <w:rPr>
                <w:rFonts w:asciiTheme="minorHAnsi" w:hAnsiTheme="minorHAnsi" w:cstheme="minorHAnsi"/>
                <w:sz w:val="20"/>
                <w:szCs w:val="20"/>
              </w:rPr>
              <w:t xml:space="preserve"> troškova</w:t>
            </w:r>
            <w:r w:rsidR="00B43D4D">
              <w:rPr>
                <w:rFonts w:asciiTheme="minorHAnsi" w:hAnsiTheme="minorHAnsi" w:cstheme="minorHAnsi"/>
                <w:sz w:val="20"/>
                <w:szCs w:val="20"/>
              </w:rPr>
              <w:t xml:space="preserve"> ne odgovara stvarnom inflatornom stanju</w:t>
            </w:r>
            <w:r w:rsidR="000A3D99">
              <w:rPr>
                <w:rFonts w:asciiTheme="minorHAnsi" w:hAnsiTheme="minorHAnsi" w:cstheme="minorHAnsi"/>
                <w:sz w:val="20"/>
                <w:szCs w:val="20"/>
              </w:rPr>
              <w:t xml:space="preserve"> </w:t>
            </w:r>
            <w:r w:rsidR="00B43D4D">
              <w:rPr>
                <w:rFonts w:asciiTheme="minorHAnsi" w:hAnsiTheme="minorHAnsi" w:cstheme="minorHAnsi"/>
                <w:sz w:val="20"/>
                <w:szCs w:val="20"/>
              </w:rPr>
              <w:t>u RH za raz</w:t>
            </w:r>
            <w:r w:rsidR="00B259C6">
              <w:rPr>
                <w:rFonts w:asciiTheme="minorHAnsi" w:hAnsiTheme="minorHAnsi" w:cstheme="minorHAnsi"/>
                <w:sz w:val="20"/>
                <w:szCs w:val="20"/>
              </w:rPr>
              <w:t>do</w:t>
            </w:r>
            <w:r w:rsidR="00B43D4D">
              <w:rPr>
                <w:rFonts w:asciiTheme="minorHAnsi" w:hAnsiTheme="minorHAnsi" w:cstheme="minorHAnsi"/>
                <w:sz w:val="20"/>
                <w:szCs w:val="20"/>
              </w:rPr>
              <w:t>blje 2021.</w:t>
            </w:r>
            <w:r w:rsidR="00B259C6">
              <w:rPr>
                <w:rFonts w:asciiTheme="minorHAnsi" w:hAnsiTheme="minorHAnsi" w:cstheme="minorHAnsi"/>
                <w:sz w:val="20"/>
                <w:szCs w:val="20"/>
              </w:rPr>
              <w:t>-</w:t>
            </w:r>
            <w:r w:rsidR="00B43D4D">
              <w:rPr>
                <w:rFonts w:asciiTheme="minorHAnsi" w:hAnsiTheme="minorHAnsi" w:cstheme="minorHAnsi"/>
                <w:sz w:val="20"/>
                <w:szCs w:val="20"/>
              </w:rPr>
              <w:t xml:space="preserve">2023., te da </w:t>
            </w:r>
            <w:proofErr w:type="spellStart"/>
            <w:r w:rsidR="00B43D4D">
              <w:rPr>
                <w:rFonts w:asciiTheme="minorHAnsi" w:hAnsiTheme="minorHAnsi" w:cstheme="minorHAnsi"/>
                <w:sz w:val="20"/>
                <w:szCs w:val="20"/>
              </w:rPr>
              <w:t>stavrne</w:t>
            </w:r>
            <w:proofErr w:type="spellEnd"/>
            <w:r w:rsidR="00B43D4D">
              <w:rPr>
                <w:rFonts w:asciiTheme="minorHAnsi" w:hAnsiTheme="minorHAnsi" w:cstheme="minorHAnsi"/>
                <w:sz w:val="20"/>
                <w:szCs w:val="20"/>
              </w:rPr>
              <w:t xml:space="preserve"> stope inflacije nisu uključene u izračun trenutnih</w:t>
            </w:r>
            <w:r w:rsidR="00435C3D">
              <w:rPr>
                <w:rFonts w:asciiTheme="minorHAnsi" w:hAnsiTheme="minorHAnsi" w:cstheme="minorHAnsi"/>
                <w:sz w:val="20"/>
                <w:szCs w:val="20"/>
              </w:rPr>
              <w:t xml:space="preserve"> veleprodajni</w:t>
            </w:r>
            <w:r w:rsidR="00B259C6">
              <w:rPr>
                <w:rFonts w:asciiTheme="minorHAnsi" w:hAnsiTheme="minorHAnsi" w:cstheme="minorHAnsi"/>
                <w:sz w:val="20"/>
                <w:szCs w:val="20"/>
              </w:rPr>
              <w:t>h</w:t>
            </w:r>
            <w:r w:rsidR="000D1FBC">
              <w:rPr>
                <w:rFonts w:asciiTheme="minorHAnsi" w:hAnsiTheme="minorHAnsi" w:cstheme="minorHAnsi"/>
                <w:sz w:val="20"/>
                <w:szCs w:val="20"/>
              </w:rPr>
              <w:t xml:space="preserve"> cijena. </w:t>
            </w:r>
            <w:r w:rsidR="00B43D4D">
              <w:rPr>
                <w:rFonts w:asciiTheme="minorHAnsi" w:hAnsiTheme="minorHAnsi" w:cstheme="minorHAnsi"/>
                <w:sz w:val="20"/>
                <w:szCs w:val="20"/>
              </w:rPr>
              <w:t>HAKOM ističe kako prilikom izrade inicijalnog modela nije mogao predvidjeti da će u razdoblju 2021.-2023. doći do značajnih makroekonomskih poreme</w:t>
            </w:r>
            <w:r w:rsidR="00D22600">
              <w:rPr>
                <w:rFonts w:asciiTheme="minorHAnsi" w:hAnsiTheme="minorHAnsi" w:cstheme="minorHAnsi"/>
                <w:sz w:val="20"/>
                <w:szCs w:val="20"/>
              </w:rPr>
              <w:t>ć</w:t>
            </w:r>
            <w:r w:rsidR="00B43D4D">
              <w:rPr>
                <w:rFonts w:asciiTheme="minorHAnsi" w:hAnsiTheme="minorHAnsi" w:cstheme="minorHAnsi"/>
                <w:sz w:val="20"/>
                <w:szCs w:val="20"/>
              </w:rPr>
              <w:t xml:space="preserve">aja na </w:t>
            </w:r>
            <w:r w:rsidR="00435C3D">
              <w:rPr>
                <w:rFonts w:asciiTheme="minorHAnsi" w:hAnsiTheme="minorHAnsi" w:cstheme="minorHAnsi"/>
                <w:sz w:val="20"/>
                <w:szCs w:val="20"/>
              </w:rPr>
              <w:t>tržištu.</w:t>
            </w:r>
          </w:p>
          <w:p w14:paraId="2C4BDE2E" w14:textId="504925C4" w:rsidR="00B06E7A" w:rsidRDefault="00B06E7A" w:rsidP="007B663A">
            <w:pPr>
              <w:jc w:val="both"/>
              <w:rPr>
                <w:rFonts w:asciiTheme="minorHAnsi" w:hAnsiTheme="minorHAnsi" w:cstheme="minorHAnsi"/>
                <w:sz w:val="20"/>
                <w:szCs w:val="20"/>
              </w:rPr>
            </w:pPr>
          </w:p>
          <w:p w14:paraId="213AA793" w14:textId="212189D8" w:rsidR="00B06E7A" w:rsidRDefault="00B06E7A" w:rsidP="007B663A">
            <w:pPr>
              <w:jc w:val="both"/>
              <w:rPr>
                <w:rFonts w:asciiTheme="minorHAnsi" w:hAnsiTheme="minorHAnsi" w:cstheme="minorHAnsi"/>
                <w:sz w:val="20"/>
                <w:szCs w:val="20"/>
              </w:rPr>
            </w:pPr>
          </w:p>
          <w:p w14:paraId="1EB1F225" w14:textId="21918173" w:rsidR="00B06E7A" w:rsidRDefault="00B06E7A" w:rsidP="007B663A">
            <w:pPr>
              <w:jc w:val="both"/>
              <w:rPr>
                <w:rFonts w:asciiTheme="minorHAnsi" w:hAnsiTheme="minorHAnsi" w:cstheme="minorHAnsi"/>
                <w:sz w:val="20"/>
                <w:szCs w:val="20"/>
              </w:rPr>
            </w:pPr>
          </w:p>
          <w:p w14:paraId="661FEBCC" w14:textId="690CD7C4" w:rsidR="00B06E7A" w:rsidRDefault="00B06E7A" w:rsidP="007B663A">
            <w:pPr>
              <w:jc w:val="both"/>
              <w:rPr>
                <w:rFonts w:asciiTheme="minorHAnsi" w:hAnsiTheme="minorHAnsi" w:cstheme="minorHAnsi"/>
                <w:sz w:val="20"/>
                <w:szCs w:val="20"/>
              </w:rPr>
            </w:pPr>
          </w:p>
          <w:p w14:paraId="2CBE644E" w14:textId="54C9CE2D" w:rsidR="00B06E7A" w:rsidRDefault="00B06E7A" w:rsidP="007B663A">
            <w:pPr>
              <w:jc w:val="both"/>
              <w:rPr>
                <w:rFonts w:asciiTheme="minorHAnsi" w:hAnsiTheme="minorHAnsi" w:cstheme="minorHAnsi"/>
                <w:sz w:val="20"/>
                <w:szCs w:val="20"/>
              </w:rPr>
            </w:pPr>
          </w:p>
          <w:p w14:paraId="5CF76A84" w14:textId="418E539A" w:rsidR="00B06E7A" w:rsidRDefault="00B06E7A" w:rsidP="007B663A">
            <w:pPr>
              <w:jc w:val="both"/>
              <w:rPr>
                <w:rFonts w:asciiTheme="minorHAnsi" w:hAnsiTheme="minorHAnsi" w:cstheme="minorHAnsi"/>
                <w:sz w:val="20"/>
                <w:szCs w:val="20"/>
              </w:rPr>
            </w:pPr>
          </w:p>
          <w:p w14:paraId="0C2A1C5B" w14:textId="2952485C" w:rsidR="00B06E7A" w:rsidRDefault="00B06E7A" w:rsidP="007B663A">
            <w:pPr>
              <w:jc w:val="both"/>
              <w:rPr>
                <w:rFonts w:asciiTheme="minorHAnsi" w:hAnsiTheme="minorHAnsi" w:cstheme="minorHAnsi"/>
                <w:sz w:val="20"/>
                <w:szCs w:val="20"/>
              </w:rPr>
            </w:pPr>
          </w:p>
          <w:p w14:paraId="54AEC2DE" w14:textId="77777777" w:rsidR="00B06E7A" w:rsidRDefault="00B06E7A" w:rsidP="007B663A">
            <w:pPr>
              <w:jc w:val="both"/>
              <w:rPr>
                <w:rFonts w:asciiTheme="minorHAnsi" w:hAnsiTheme="minorHAnsi" w:cstheme="minorHAnsi"/>
                <w:sz w:val="20"/>
                <w:szCs w:val="20"/>
              </w:rPr>
            </w:pPr>
          </w:p>
          <w:p w14:paraId="6338330E" w14:textId="542FD6D8" w:rsidR="00435C3D" w:rsidRDefault="00716DEF" w:rsidP="007B663A">
            <w:pPr>
              <w:jc w:val="both"/>
              <w:rPr>
                <w:rFonts w:asciiTheme="minorHAnsi" w:hAnsiTheme="minorHAnsi" w:cstheme="minorHAnsi"/>
                <w:sz w:val="20"/>
                <w:szCs w:val="20"/>
              </w:rPr>
            </w:pPr>
            <w:r>
              <w:rPr>
                <w:rFonts w:asciiTheme="minorHAnsi" w:hAnsiTheme="minorHAnsi" w:cstheme="minorHAnsi"/>
                <w:sz w:val="20"/>
                <w:szCs w:val="20"/>
              </w:rPr>
              <w:t>Obzirom na makroekonomske poremećaje na globalnom tržištu izazvane</w:t>
            </w:r>
            <w:r w:rsidR="00761846">
              <w:rPr>
                <w:rFonts w:asciiTheme="minorHAnsi" w:hAnsiTheme="minorHAnsi" w:cstheme="minorHAnsi"/>
                <w:sz w:val="20"/>
                <w:szCs w:val="20"/>
              </w:rPr>
              <w:t xml:space="preserve"> </w:t>
            </w:r>
            <w:proofErr w:type="spellStart"/>
            <w:r w:rsidR="00761846">
              <w:rPr>
                <w:rFonts w:asciiTheme="minorHAnsi" w:hAnsiTheme="minorHAnsi" w:cstheme="minorHAnsi"/>
                <w:sz w:val="20"/>
                <w:szCs w:val="20"/>
              </w:rPr>
              <w:t>pandemijom</w:t>
            </w:r>
            <w:proofErr w:type="spellEnd"/>
            <w:r w:rsidR="00761846">
              <w:rPr>
                <w:rFonts w:asciiTheme="minorHAnsi" w:hAnsiTheme="minorHAnsi" w:cstheme="minorHAnsi"/>
                <w:sz w:val="20"/>
                <w:szCs w:val="20"/>
              </w:rPr>
              <w:t xml:space="preserve"> </w:t>
            </w:r>
            <w:proofErr w:type="spellStart"/>
            <w:r w:rsidR="00761846">
              <w:rPr>
                <w:rFonts w:asciiTheme="minorHAnsi" w:hAnsiTheme="minorHAnsi" w:cstheme="minorHAnsi"/>
                <w:sz w:val="20"/>
                <w:szCs w:val="20"/>
              </w:rPr>
              <w:t>koronavirusa</w:t>
            </w:r>
            <w:proofErr w:type="spellEnd"/>
            <w:r w:rsidR="00761846">
              <w:rPr>
                <w:rFonts w:asciiTheme="minorHAnsi" w:hAnsiTheme="minorHAnsi" w:cstheme="minorHAnsi"/>
                <w:sz w:val="20"/>
                <w:szCs w:val="20"/>
              </w:rPr>
              <w:t xml:space="preserve"> te</w:t>
            </w:r>
            <w:r>
              <w:rPr>
                <w:rFonts w:asciiTheme="minorHAnsi" w:hAnsiTheme="minorHAnsi" w:cstheme="minorHAnsi"/>
                <w:sz w:val="20"/>
                <w:szCs w:val="20"/>
              </w:rPr>
              <w:t xml:space="preserve"> ratom u Ukrajini, </w:t>
            </w:r>
            <w:r w:rsidR="00DE2860">
              <w:rPr>
                <w:rFonts w:asciiTheme="minorHAnsi" w:hAnsiTheme="minorHAnsi" w:cstheme="minorHAnsi"/>
                <w:sz w:val="20"/>
                <w:szCs w:val="20"/>
              </w:rPr>
              <w:t xml:space="preserve">HAKOM je </w:t>
            </w:r>
            <w:r>
              <w:rPr>
                <w:rFonts w:asciiTheme="minorHAnsi" w:hAnsiTheme="minorHAnsi" w:cstheme="minorHAnsi"/>
                <w:sz w:val="20"/>
                <w:szCs w:val="20"/>
              </w:rPr>
              <w:t>smatrao opravdanim odredi</w:t>
            </w:r>
            <w:r w:rsidR="00A00FB9">
              <w:rPr>
                <w:rFonts w:asciiTheme="minorHAnsi" w:hAnsiTheme="minorHAnsi" w:cstheme="minorHAnsi"/>
                <w:sz w:val="20"/>
                <w:szCs w:val="20"/>
              </w:rPr>
              <w:t>ti</w:t>
            </w:r>
            <w:r>
              <w:rPr>
                <w:rFonts w:asciiTheme="minorHAnsi" w:hAnsiTheme="minorHAnsi" w:cstheme="minorHAnsi"/>
                <w:sz w:val="20"/>
                <w:szCs w:val="20"/>
              </w:rPr>
              <w:t xml:space="preserve"> stopu trenda </w:t>
            </w:r>
            <w:proofErr w:type="spellStart"/>
            <w:r>
              <w:rPr>
                <w:rFonts w:asciiTheme="minorHAnsi" w:hAnsiTheme="minorHAnsi" w:cstheme="minorHAnsi"/>
                <w:sz w:val="20"/>
                <w:szCs w:val="20"/>
              </w:rPr>
              <w:t>OPEX</w:t>
            </w:r>
            <w:proofErr w:type="spellEnd"/>
            <w:r w:rsidR="00FD0F7A">
              <w:rPr>
                <w:rFonts w:asciiTheme="minorHAnsi" w:hAnsiTheme="minorHAnsi" w:cstheme="minorHAnsi"/>
                <w:sz w:val="20"/>
                <w:szCs w:val="20"/>
              </w:rPr>
              <w:t>-a</w:t>
            </w:r>
            <w:r>
              <w:rPr>
                <w:rFonts w:asciiTheme="minorHAnsi" w:hAnsiTheme="minorHAnsi" w:cstheme="minorHAnsi"/>
                <w:sz w:val="20"/>
                <w:szCs w:val="20"/>
              </w:rPr>
              <w:t xml:space="preserve"> za raz</w:t>
            </w:r>
            <w:r w:rsidR="00FD0F7A">
              <w:rPr>
                <w:rFonts w:asciiTheme="minorHAnsi" w:hAnsiTheme="minorHAnsi" w:cstheme="minorHAnsi"/>
                <w:sz w:val="20"/>
                <w:szCs w:val="20"/>
              </w:rPr>
              <w:t>do</w:t>
            </w:r>
            <w:r>
              <w:rPr>
                <w:rFonts w:asciiTheme="minorHAnsi" w:hAnsiTheme="minorHAnsi" w:cstheme="minorHAnsi"/>
                <w:sz w:val="20"/>
                <w:szCs w:val="20"/>
              </w:rPr>
              <w:t>blje od 2024. do 2027.</w:t>
            </w:r>
            <w:r w:rsidR="0038675F">
              <w:rPr>
                <w:rFonts w:asciiTheme="minorHAnsi" w:hAnsiTheme="minorHAnsi" w:cstheme="minorHAnsi"/>
                <w:sz w:val="20"/>
                <w:szCs w:val="20"/>
              </w:rPr>
              <w:t xml:space="preserve"> </w:t>
            </w:r>
            <w:r w:rsidRPr="00716DEF">
              <w:rPr>
                <w:rFonts w:asciiTheme="minorHAnsi" w:hAnsiTheme="minorHAnsi" w:cstheme="minorHAnsi"/>
                <w:sz w:val="20"/>
                <w:szCs w:val="20"/>
              </w:rPr>
              <w:t>na temelju podatka o visini očekivane stope inflacij</w:t>
            </w:r>
            <w:r w:rsidR="00FD0F7A">
              <w:rPr>
                <w:rFonts w:asciiTheme="minorHAnsi" w:hAnsiTheme="minorHAnsi" w:cstheme="minorHAnsi"/>
                <w:sz w:val="20"/>
                <w:szCs w:val="20"/>
              </w:rPr>
              <w:t>e</w:t>
            </w:r>
            <w:r w:rsidRPr="00716DEF">
              <w:rPr>
                <w:rFonts w:asciiTheme="minorHAnsi" w:hAnsiTheme="minorHAnsi" w:cstheme="minorHAnsi"/>
                <w:sz w:val="20"/>
                <w:szCs w:val="20"/>
              </w:rPr>
              <w:t xml:space="preserve"> u RH objavljene od strane Europske </w:t>
            </w:r>
            <w:r w:rsidR="00FD0F7A">
              <w:rPr>
                <w:rFonts w:asciiTheme="minorHAnsi" w:hAnsiTheme="minorHAnsi" w:cstheme="minorHAnsi"/>
                <w:sz w:val="20"/>
                <w:szCs w:val="20"/>
              </w:rPr>
              <w:t>k</w:t>
            </w:r>
            <w:r w:rsidRPr="00716DEF">
              <w:rPr>
                <w:rFonts w:asciiTheme="minorHAnsi" w:hAnsiTheme="minorHAnsi" w:cstheme="minorHAnsi"/>
                <w:sz w:val="20"/>
                <w:szCs w:val="20"/>
              </w:rPr>
              <w:t>omisije</w:t>
            </w:r>
            <w:r>
              <w:rPr>
                <w:rFonts w:asciiTheme="minorHAnsi" w:hAnsiTheme="minorHAnsi" w:cstheme="minorHAnsi"/>
                <w:sz w:val="20"/>
                <w:szCs w:val="20"/>
              </w:rPr>
              <w:t>.</w:t>
            </w:r>
            <w:r w:rsidR="00A00FB9">
              <w:rPr>
                <w:rFonts w:asciiTheme="minorHAnsi" w:hAnsiTheme="minorHAnsi" w:cstheme="minorHAnsi"/>
                <w:sz w:val="20"/>
                <w:szCs w:val="20"/>
              </w:rPr>
              <w:t xml:space="preserve"> </w:t>
            </w:r>
            <w:r>
              <w:rPr>
                <w:rFonts w:asciiTheme="minorHAnsi" w:hAnsiTheme="minorHAnsi" w:cstheme="minorHAnsi"/>
                <w:sz w:val="20"/>
                <w:szCs w:val="20"/>
              </w:rPr>
              <w:t xml:space="preserve">Naime, HAKOM je mišljenja da </w:t>
            </w:r>
            <w:r w:rsidR="00A00FB9">
              <w:rPr>
                <w:rFonts w:asciiTheme="minorHAnsi" w:hAnsiTheme="minorHAnsi" w:cstheme="minorHAnsi"/>
                <w:sz w:val="20"/>
                <w:szCs w:val="20"/>
              </w:rPr>
              <w:t>na</w:t>
            </w:r>
            <w:r w:rsidR="00AF38C5">
              <w:rPr>
                <w:rFonts w:asciiTheme="minorHAnsi" w:hAnsiTheme="minorHAnsi" w:cstheme="minorHAnsi"/>
                <w:sz w:val="20"/>
                <w:szCs w:val="20"/>
              </w:rPr>
              <w:t>č</w:t>
            </w:r>
            <w:r w:rsidR="00A00FB9">
              <w:rPr>
                <w:rFonts w:asciiTheme="minorHAnsi" w:hAnsiTheme="minorHAnsi" w:cstheme="minorHAnsi"/>
                <w:sz w:val="20"/>
                <w:szCs w:val="20"/>
              </w:rPr>
              <w:t xml:space="preserve">in izračuna stope trenda </w:t>
            </w:r>
            <w:proofErr w:type="spellStart"/>
            <w:r w:rsidR="00A00FB9">
              <w:rPr>
                <w:rFonts w:asciiTheme="minorHAnsi" w:hAnsiTheme="minorHAnsi" w:cstheme="minorHAnsi"/>
                <w:sz w:val="20"/>
                <w:szCs w:val="20"/>
              </w:rPr>
              <w:t>OPEX</w:t>
            </w:r>
            <w:proofErr w:type="spellEnd"/>
            <w:r w:rsidR="00A00FB9">
              <w:rPr>
                <w:rFonts w:asciiTheme="minorHAnsi" w:hAnsiTheme="minorHAnsi" w:cstheme="minorHAnsi"/>
                <w:sz w:val="20"/>
                <w:szCs w:val="20"/>
              </w:rPr>
              <w:t>-a koji je korišten u inicijalnom modelu više nije prikladan zbog makroekonomskog poreme</w:t>
            </w:r>
            <w:r w:rsidR="00AF38C5">
              <w:rPr>
                <w:rFonts w:asciiTheme="minorHAnsi" w:hAnsiTheme="minorHAnsi" w:cstheme="minorHAnsi"/>
                <w:sz w:val="20"/>
                <w:szCs w:val="20"/>
              </w:rPr>
              <w:t>ć</w:t>
            </w:r>
            <w:r w:rsidR="00A00FB9">
              <w:rPr>
                <w:rFonts w:asciiTheme="minorHAnsi" w:hAnsiTheme="minorHAnsi" w:cstheme="minorHAnsi"/>
                <w:sz w:val="20"/>
                <w:szCs w:val="20"/>
              </w:rPr>
              <w:t>aja nastalog na tržištu tijekom 2022</w:t>
            </w:r>
            <w:r w:rsidR="00435C3D">
              <w:rPr>
                <w:rFonts w:asciiTheme="minorHAnsi" w:hAnsiTheme="minorHAnsi" w:cstheme="minorHAnsi"/>
                <w:sz w:val="20"/>
                <w:szCs w:val="20"/>
              </w:rPr>
              <w:t>.</w:t>
            </w:r>
          </w:p>
          <w:p w14:paraId="51E0BCA6" w14:textId="77777777" w:rsidR="00435C3D" w:rsidRDefault="00435C3D" w:rsidP="007B663A">
            <w:pPr>
              <w:jc w:val="both"/>
              <w:rPr>
                <w:rFonts w:asciiTheme="minorHAnsi" w:hAnsiTheme="minorHAnsi" w:cstheme="minorHAnsi"/>
                <w:sz w:val="20"/>
                <w:szCs w:val="20"/>
              </w:rPr>
            </w:pPr>
          </w:p>
          <w:p w14:paraId="648A744B" w14:textId="47209253" w:rsidR="004A7EF8" w:rsidRDefault="00435C3D" w:rsidP="007B663A">
            <w:pPr>
              <w:jc w:val="both"/>
              <w:rPr>
                <w:rFonts w:asciiTheme="minorHAnsi" w:hAnsiTheme="minorHAnsi" w:cstheme="minorHAnsi"/>
                <w:sz w:val="20"/>
                <w:szCs w:val="20"/>
              </w:rPr>
            </w:pPr>
            <w:r>
              <w:rPr>
                <w:rFonts w:asciiTheme="minorHAnsi" w:hAnsiTheme="minorHAnsi" w:cstheme="minorHAnsi"/>
                <w:sz w:val="20"/>
                <w:szCs w:val="20"/>
              </w:rPr>
              <w:t>Stoga,</w:t>
            </w:r>
            <w:r w:rsidR="00B85CB6">
              <w:rPr>
                <w:rFonts w:asciiTheme="minorHAnsi" w:hAnsiTheme="minorHAnsi" w:cstheme="minorHAnsi"/>
                <w:sz w:val="20"/>
                <w:szCs w:val="20"/>
              </w:rPr>
              <w:t xml:space="preserve"> </w:t>
            </w:r>
            <w:r>
              <w:rPr>
                <w:rFonts w:asciiTheme="minorHAnsi" w:hAnsiTheme="minorHAnsi" w:cstheme="minorHAnsi"/>
                <w:sz w:val="20"/>
                <w:szCs w:val="20"/>
              </w:rPr>
              <w:t xml:space="preserve">HAKOM je izračunao trend </w:t>
            </w:r>
            <w:proofErr w:type="spellStart"/>
            <w:r>
              <w:rPr>
                <w:rFonts w:asciiTheme="minorHAnsi" w:hAnsiTheme="minorHAnsi" w:cstheme="minorHAnsi"/>
                <w:sz w:val="20"/>
                <w:szCs w:val="20"/>
              </w:rPr>
              <w:t>OPEX</w:t>
            </w:r>
            <w:proofErr w:type="spellEnd"/>
            <w:r>
              <w:rPr>
                <w:rFonts w:asciiTheme="minorHAnsi" w:hAnsiTheme="minorHAnsi" w:cstheme="minorHAnsi"/>
                <w:sz w:val="20"/>
                <w:szCs w:val="20"/>
              </w:rPr>
              <w:t xml:space="preserve"> troškova na način da je za razdoblje od 2023. do 2024. uzeta </w:t>
            </w:r>
            <w:r w:rsidR="00B85CB6">
              <w:rPr>
                <w:rFonts w:asciiTheme="minorHAnsi" w:hAnsiTheme="minorHAnsi" w:cstheme="minorHAnsi"/>
                <w:sz w:val="20"/>
                <w:szCs w:val="20"/>
              </w:rPr>
              <w:t>očekivana stopa inflacije</w:t>
            </w:r>
            <w:r>
              <w:rPr>
                <w:rFonts w:asciiTheme="minorHAnsi" w:hAnsiTheme="minorHAnsi" w:cstheme="minorHAnsi"/>
                <w:sz w:val="20"/>
                <w:szCs w:val="20"/>
              </w:rPr>
              <w:t>, dok je za razdoblja do 2027</w:t>
            </w:r>
            <w:r w:rsidR="00B85CB6">
              <w:rPr>
                <w:rFonts w:asciiTheme="minorHAnsi" w:hAnsiTheme="minorHAnsi" w:cstheme="minorHAnsi"/>
                <w:sz w:val="20"/>
                <w:szCs w:val="20"/>
              </w:rPr>
              <w:t>.</w:t>
            </w:r>
            <w:r>
              <w:rPr>
                <w:rFonts w:asciiTheme="minorHAnsi" w:hAnsiTheme="minorHAnsi" w:cstheme="minorHAnsi"/>
                <w:sz w:val="20"/>
                <w:szCs w:val="20"/>
              </w:rPr>
              <w:t xml:space="preserve"> uzeta</w:t>
            </w:r>
            <w:r w:rsidRPr="00435C3D">
              <w:rPr>
                <w:rFonts w:asciiTheme="minorHAnsi" w:hAnsiTheme="minorHAnsi" w:cstheme="minorHAnsi"/>
                <w:sz w:val="20"/>
                <w:szCs w:val="20"/>
              </w:rPr>
              <w:t xml:space="preserve"> pretpo</w:t>
            </w:r>
            <w:r w:rsidR="0011436B">
              <w:rPr>
                <w:rFonts w:asciiTheme="minorHAnsi" w:hAnsiTheme="minorHAnsi" w:cstheme="minorHAnsi"/>
                <w:sz w:val="20"/>
                <w:szCs w:val="20"/>
              </w:rPr>
              <w:t>s</w:t>
            </w:r>
            <w:r w:rsidRPr="00435C3D">
              <w:rPr>
                <w:rFonts w:asciiTheme="minorHAnsi" w:hAnsiTheme="minorHAnsi" w:cstheme="minorHAnsi"/>
                <w:sz w:val="20"/>
                <w:szCs w:val="20"/>
              </w:rPr>
              <w:t>tavka da stopa inflacije ostane</w:t>
            </w:r>
            <w:r>
              <w:rPr>
                <w:rFonts w:asciiTheme="minorHAnsi" w:hAnsiTheme="minorHAnsi" w:cstheme="minorHAnsi"/>
                <w:sz w:val="20"/>
                <w:szCs w:val="20"/>
              </w:rPr>
              <w:t xml:space="preserve"> konstantna u iznosu od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w:t>
            </w:r>
            <w:r w:rsidR="00B85CB6">
              <w:rPr>
                <w:rFonts w:asciiTheme="minorHAnsi" w:hAnsiTheme="minorHAnsi" w:cstheme="minorHAnsi"/>
                <w:sz w:val="20"/>
                <w:szCs w:val="20"/>
              </w:rPr>
              <w:t>.</w:t>
            </w:r>
          </w:p>
          <w:p w14:paraId="6C96A1B2" w14:textId="77777777" w:rsidR="00A00FB9" w:rsidRDefault="00A00FB9" w:rsidP="007B663A">
            <w:pPr>
              <w:jc w:val="both"/>
              <w:rPr>
                <w:rFonts w:asciiTheme="minorHAnsi" w:hAnsiTheme="minorHAnsi" w:cstheme="minorHAnsi"/>
                <w:sz w:val="20"/>
                <w:szCs w:val="20"/>
              </w:rPr>
            </w:pPr>
          </w:p>
          <w:p w14:paraId="68B70A24" w14:textId="77777777" w:rsidR="00A22FE2" w:rsidRDefault="00DE2860" w:rsidP="007B663A">
            <w:pPr>
              <w:jc w:val="both"/>
              <w:rPr>
                <w:rFonts w:asciiTheme="minorHAnsi" w:hAnsiTheme="minorHAnsi" w:cstheme="minorHAnsi"/>
                <w:sz w:val="20"/>
                <w:szCs w:val="20"/>
              </w:rPr>
            </w:pPr>
            <w:r w:rsidRPr="00DE2860">
              <w:rPr>
                <w:rFonts w:asciiTheme="minorHAnsi" w:hAnsiTheme="minorHAnsi" w:cstheme="minorHAnsi"/>
                <w:sz w:val="20"/>
                <w:szCs w:val="20"/>
              </w:rPr>
              <w:t xml:space="preserve"> </w:t>
            </w:r>
          </w:p>
          <w:p w14:paraId="40C9A0EE" w14:textId="77777777" w:rsidR="0011436B" w:rsidRDefault="0011436B" w:rsidP="007B663A">
            <w:pPr>
              <w:jc w:val="both"/>
              <w:rPr>
                <w:rFonts w:asciiTheme="minorHAnsi" w:hAnsiTheme="minorHAnsi" w:cstheme="minorHAnsi"/>
                <w:sz w:val="20"/>
                <w:szCs w:val="20"/>
              </w:rPr>
            </w:pPr>
          </w:p>
          <w:p w14:paraId="24FB3064" w14:textId="77777777" w:rsidR="0011436B" w:rsidRDefault="0011436B" w:rsidP="007B663A">
            <w:pPr>
              <w:jc w:val="both"/>
              <w:rPr>
                <w:rFonts w:asciiTheme="minorHAnsi" w:hAnsiTheme="minorHAnsi" w:cstheme="minorHAnsi"/>
                <w:sz w:val="20"/>
                <w:szCs w:val="20"/>
              </w:rPr>
            </w:pPr>
          </w:p>
          <w:p w14:paraId="75DFCF04" w14:textId="77777777" w:rsidR="0011436B" w:rsidRDefault="0011436B" w:rsidP="007B663A">
            <w:pPr>
              <w:jc w:val="both"/>
              <w:rPr>
                <w:rFonts w:asciiTheme="minorHAnsi" w:hAnsiTheme="minorHAnsi" w:cstheme="minorHAnsi"/>
                <w:sz w:val="20"/>
                <w:szCs w:val="20"/>
              </w:rPr>
            </w:pPr>
          </w:p>
          <w:p w14:paraId="4687B259" w14:textId="77777777" w:rsidR="0011436B" w:rsidRDefault="0011436B" w:rsidP="007B663A">
            <w:pPr>
              <w:jc w:val="both"/>
              <w:rPr>
                <w:rFonts w:asciiTheme="minorHAnsi" w:hAnsiTheme="minorHAnsi" w:cstheme="minorHAnsi"/>
                <w:sz w:val="20"/>
                <w:szCs w:val="20"/>
              </w:rPr>
            </w:pPr>
          </w:p>
          <w:p w14:paraId="634A65BA" w14:textId="77777777" w:rsidR="0011436B" w:rsidRDefault="0011436B" w:rsidP="007B663A">
            <w:pPr>
              <w:jc w:val="both"/>
              <w:rPr>
                <w:rFonts w:asciiTheme="minorHAnsi" w:hAnsiTheme="minorHAnsi" w:cstheme="minorHAnsi"/>
                <w:sz w:val="20"/>
                <w:szCs w:val="20"/>
              </w:rPr>
            </w:pPr>
          </w:p>
          <w:p w14:paraId="4E974EC6" w14:textId="77777777" w:rsidR="0011436B" w:rsidRDefault="0011436B" w:rsidP="007B663A">
            <w:pPr>
              <w:jc w:val="both"/>
              <w:rPr>
                <w:rFonts w:asciiTheme="minorHAnsi" w:hAnsiTheme="minorHAnsi" w:cstheme="minorHAnsi"/>
                <w:sz w:val="20"/>
                <w:szCs w:val="20"/>
              </w:rPr>
            </w:pPr>
          </w:p>
          <w:p w14:paraId="4C087779" w14:textId="77777777" w:rsidR="0011436B" w:rsidRDefault="0011436B" w:rsidP="007B663A">
            <w:pPr>
              <w:jc w:val="both"/>
              <w:rPr>
                <w:rFonts w:asciiTheme="minorHAnsi" w:hAnsiTheme="minorHAnsi" w:cstheme="minorHAnsi"/>
                <w:sz w:val="20"/>
                <w:szCs w:val="20"/>
              </w:rPr>
            </w:pPr>
          </w:p>
          <w:p w14:paraId="5441F9AC" w14:textId="77777777" w:rsidR="0011436B" w:rsidRDefault="0011436B" w:rsidP="007B663A">
            <w:pPr>
              <w:jc w:val="both"/>
              <w:rPr>
                <w:rFonts w:asciiTheme="minorHAnsi" w:hAnsiTheme="minorHAnsi" w:cstheme="minorHAnsi"/>
                <w:sz w:val="20"/>
                <w:szCs w:val="20"/>
              </w:rPr>
            </w:pPr>
          </w:p>
          <w:p w14:paraId="64D53431" w14:textId="77777777" w:rsidR="0011436B" w:rsidRDefault="0011436B" w:rsidP="007B663A">
            <w:pPr>
              <w:jc w:val="both"/>
              <w:rPr>
                <w:rFonts w:asciiTheme="minorHAnsi" w:hAnsiTheme="minorHAnsi" w:cstheme="minorHAnsi"/>
                <w:sz w:val="20"/>
                <w:szCs w:val="20"/>
              </w:rPr>
            </w:pPr>
          </w:p>
          <w:p w14:paraId="69ED9D9C" w14:textId="77777777" w:rsidR="0011436B" w:rsidRDefault="0011436B" w:rsidP="007B663A">
            <w:pPr>
              <w:jc w:val="both"/>
              <w:rPr>
                <w:rFonts w:asciiTheme="minorHAnsi" w:hAnsiTheme="minorHAnsi" w:cstheme="minorHAnsi"/>
                <w:sz w:val="20"/>
                <w:szCs w:val="20"/>
              </w:rPr>
            </w:pPr>
          </w:p>
          <w:p w14:paraId="79D5BA32" w14:textId="77777777" w:rsidR="0011436B" w:rsidRDefault="0011436B" w:rsidP="007B663A">
            <w:pPr>
              <w:jc w:val="both"/>
              <w:rPr>
                <w:rFonts w:asciiTheme="minorHAnsi" w:hAnsiTheme="minorHAnsi" w:cstheme="minorHAnsi"/>
                <w:sz w:val="20"/>
                <w:szCs w:val="20"/>
              </w:rPr>
            </w:pPr>
          </w:p>
          <w:p w14:paraId="21AB76F0" w14:textId="77777777" w:rsidR="0011436B" w:rsidRDefault="0011436B" w:rsidP="007B663A">
            <w:pPr>
              <w:jc w:val="both"/>
              <w:rPr>
                <w:rFonts w:asciiTheme="minorHAnsi" w:hAnsiTheme="minorHAnsi" w:cstheme="minorHAnsi"/>
                <w:sz w:val="20"/>
                <w:szCs w:val="20"/>
              </w:rPr>
            </w:pPr>
          </w:p>
          <w:p w14:paraId="357E4257" w14:textId="77777777" w:rsidR="0011436B" w:rsidRDefault="0011436B" w:rsidP="007B663A">
            <w:pPr>
              <w:jc w:val="both"/>
              <w:rPr>
                <w:rFonts w:asciiTheme="minorHAnsi" w:hAnsiTheme="minorHAnsi" w:cstheme="minorHAnsi"/>
                <w:sz w:val="20"/>
                <w:szCs w:val="20"/>
              </w:rPr>
            </w:pPr>
          </w:p>
          <w:p w14:paraId="419A7237" w14:textId="77777777" w:rsidR="0011436B" w:rsidRDefault="0011436B" w:rsidP="007B663A">
            <w:pPr>
              <w:jc w:val="both"/>
              <w:rPr>
                <w:rFonts w:asciiTheme="minorHAnsi" w:hAnsiTheme="minorHAnsi" w:cstheme="minorHAnsi"/>
                <w:sz w:val="20"/>
                <w:szCs w:val="20"/>
              </w:rPr>
            </w:pPr>
          </w:p>
          <w:p w14:paraId="4640EDE4" w14:textId="77777777" w:rsidR="0011436B" w:rsidRDefault="0011436B" w:rsidP="007B663A">
            <w:pPr>
              <w:jc w:val="both"/>
              <w:rPr>
                <w:rFonts w:asciiTheme="minorHAnsi" w:hAnsiTheme="minorHAnsi" w:cstheme="minorHAnsi"/>
                <w:sz w:val="20"/>
                <w:szCs w:val="20"/>
              </w:rPr>
            </w:pPr>
          </w:p>
          <w:p w14:paraId="4863E10E" w14:textId="77777777" w:rsidR="0011436B" w:rsidRDefault="0011436B" w:rsidP="007B663A">
            <w:pPr>
              <w:jc w:val="both"/>
              <w:rPr>
                <w:rFonts w:asciiTheme="minorHAnsi" w:hAnsiTheme="minorHAnsi" w:cstheme="minorHAnsi"/>
                <w:sz w:val="20"/>
                <w:szCs w:val="20"/>
              </w:rPr>
            </w:pPr>
          </w:p>
          <w:p w14:paraId="09A64FF1" w14:textId="77777777" w:rsidR="0011436B" w:rsidRDefault="0011436B" w:rsidP="007B663A">
            <w:pPr>
              <w:jc w:val="both"/>
              <w:rPr>
                <w:rFonts w:asciiTheme="minorHAnsi" w:hAnsiTheme="minorHAnsi" w:cstheme="minorHAnsi"/>
                <w:sz w:val="20"/>
                <w:szCs w:val="20"/>
              </w:rPr>
            </w:pPr>
          </w:p>
          <w:p w14:paraId="303DFC65" w14:textId="77777777" w:rsidR="0011436B" w:rsidRDefault="0011436B" w:rsidP="007B663A">
            <w:pPr>
              <w:jc w:val="both"/>
              <w:rPr>
                <w:rFonts w:asciiTheme="minorHAnsi" w:hAnsiTheme="minorHAnsi" w:cstheme="minorHAnsi"/>
                <w:sz w:val="20"/>
                <w:szCs w:val="20"/>
              </w:rPr>
            </w:pPr>
          </w:p>
          <w:p w14:paraId="59C1EAF4" w14:textId="77777777" w:rsidR="0011436B" w:rsidRDefault="0011436B" w:rsidP="007B663A">
            <w:pPr>
              <w:jc w:val="both"/>
              <w:rPr>
                <w:rFonts w:asciiTheme="minorHAnsi" w:hAnsiTheme="minorHAnsi" w:cstheme="minorHAnsi"/>
                <w:sz w:val="20"/>
                <w:szCs w:val="20"/>
              </w:rPr>
            </w:pPr>
          </w:p>
          <w:p w14:paraId="38F15D5A" w14:textId="77777777" w:rsidR="0011436B" w:rsidRDefault="0011436B" w:rsidP="007B663A">
            <w:pPr>
              <w:jc w:val="both"/>
              <w:rPr>
                <w:rFonts w:asciiTheme="minorHAnsi" w:hAnsiTheme="minorHAnsi" w:cstheme="minorHAnsi"/>
                <w:sz w:val="20"/>
                <w:szCs w:val="20"/>
              </w:rPr>
            </w:pPr>
          </w:p>
          <w:p w14:paraId="605C6181" w14:textId="77777777" w:rsidR="0011436B" w:rsidRDefault="0011436B" w:rsidP="007B663A">
            <w:pPr>
              <w:jc w:val="both"/>
              <w:rPr>
                <w:rFonts w:asciiTheme="minorHAnsi" w:hAnsiTheme="minorHAnsi" w:cstheme="minorHAnsi"/>
                <w:sz w:val="20"/>
                <w:szCs w:val="20"/>
              </w:rPr>
            </w:pPr>
          </w:p>
          <w:p w14:paraId="16F013C2" w14:textId="77777777" w:rsidR="0011436B" w:rsidRDefault="0011436B" w:rsidP="007B663A">
            <w:pPr>
              <w:jc w:val="both"/>
              <w:rPr>
                <w:rFonts w:asciiTheme="minorHAnsi" w:hAnsiTheme="minorHAnsi" w:cstheme="minorHAnsi"/>
                <w:sz w:val="20"/>
                <w:szCs w:val="20"/>
              </w:rPr>
            </w:pPr>
          </w:p>
          <w:p w14:paraId="463DE3A0" w14:textId="442068AC" w:rsidR="0011436B" w:rsidRPr="004046FA" w:rsidRDefault="0011436B">
            <w:pPr>
              <w:jc w:val="both"/>
              <w:rPr>
                <w:rFonts w:asciiTheme="minorHAnsi" w:hAnsiTheme="minorHAnsi" w:cstheme="minorHAnsi"/>
                <w:sz w:val="20"/>
                <w:szCs w:val="20"/>
              </w:rPr>
            </w:pPr>
            <w:r>
              <w:rPr>
                <w:rFonts w:asciiTheme="minorHAnsi" w:hAnsiTheme="minorHAnsi" w:cstheme="minorHAnsi"/>
                <w:sz w:val="20"/>
                <w:szCs w:val="20"/>
              </w:rPr>
              <w:t xml:space="preserve">Vezano uz troškove prava puta, HAKOM ističe da je u model implementirao stvarne troškove prava puta za proteklo razdoblje, međutim, HAKOM će zadržati istu pretpostavku koju je koristio i kod izrade </w:t>
            </w:r>
            <w:proofErr w:type="spellStart"/>
            <w:r>
              <w:rPr>
                <w:rFonts w:asciiTheme="minorHAnsi" w:hAnsiTheme="minorHAnsi" w:cstheme="minorHAnsi"/>
                <w:sz w:val="20"/>
                <w:szCs w:val="20"/>
              </w:rPr>
              <w:t>incijalnog</w:t>
            </w:r>
            <w:proofErr w:type="spellEnd"/>
            <w:r>
              <w:rPr>
                <w:rFonts w:asciiTheme="minorHAnsi" w:hAnsiTheme="minorHAnsi" w:cstheme="minorHAnsi"/>
                <w:sz w:val="20"/>
                <w:szCs w:val="20"/>
              </w:rPr>
              <w:t xml:space="preserve"> troškovnog modela da se za buduća razdoblja ti troškovi neće povećavati. Ta pretpostavka se zasniva na činjenici da bi HT za svu postojeću izgrađenu infrastrukturu trebao već imati riješene imovinsko pravne odnose </w:t>
            </w:r>
            <w:r w:rsidR="006302DA">
              <w:rPr>
                <w:rFonts w:asciiTheme="minorHAnsi" w:hAnsiTheme="minorHAnsi" w:cstheme="minorHAnsi"/>
                <w:sz w:val="20"/>
                <w:szCs w:val="20"/>
              </w:rPr>
              <w:t xml:space="preserve">čije rješavanje je dio izračuna jediničnih troškova </w:t>
            </w:r>
            <w:proofErr w:type="spellStart"/>
            <w:r w:rsidR="006302DA">
              <w:rPr>
                <w:rFonts w:asciiTheme="minorHAnsi" w:hAnsiTheme="minorHAnsi" w:cstheme="minorHAnsi"/>
                <w:sz w:val="20"/>
                <w:szCs w:val="20"/>
              </w:rPr>
              <w:t>DTK</w:t>
            </w:r>
            <w:proofErr w:type="spellEnd"/>
            <w:r w:rsidR="006302DA">
              <w:rPr>
                <w:rFonts w:asciiTheme="minorHAnsi" w:hAnsiTheme="minorHAnsi" w:cstheme="minorHAnsi"/>
                <w:sz w:val="20"/>
                <w:szCs w:val="20"/>
              </w:rPr>
              <w:t xml:space="preserve"> (troškovi konzaltinga), kako i sam HT navodi u jednom od prethodnih komentara. HAKOM ne može unaprijed predvidjeti da će troškovi prava puta rasti te koliko će rasti.</w:t>
            </w:r>
          </w:p>
        </w:tc>
      </w:tr>
      <w:tr w:rsidR="00132EA6" w:rsidRPr="00CE310D" w14:paraId="2C5750D4"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7137DDD" w14:textId="0C44A979"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lastRenderedPageBreak/>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1D088E9" w14:textId="72EFE23E"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9EAAC7E" w14:textId="01AAC549" w:rsidR="00132EA6" w:rsidRPr="00CE310D" w:rsidRDefault="00132EA6" w:rsidP="00067C98">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A1 smatra da su gotovo svi jedinični troškovi u troškovnom modelu značajno veći od troškova koje je A1 dostavio HAKOM-u tijekom postupka prikupljanja podataka. </w:t>
            </w:r>
          </w:p>
          <w:p w14:paraId="0F5F3BAB" w14:textId="77777777" w:rsidR="00B34D23" w:rsidRPr="00CE310D" w:rsidRDefault="00B34D23" w:rsidP="00067C98">
            <w:pPr>
              <w:pStyle w:val="ListParagraph"/>
              <w:ind w:left="-101"/>
              <w:jc w:val="both"/>
              <w:rPr>
                <w:rFonts w:asciiTheme="minorHAnsi" w:hAnsiTheme="minorHAnsi" w:cstheme="minorHAnsi"/>
                <w:sz w:val="20"/>
                <w:szCs w:val="20"/>
              </w:rPr>
            </w:pPr>
          </w:p>
          <w:p w14:paraId="7AE84279" w14:textId="77777777" w:rsidR="00132EA6" w:rsidRPr="00CE310D" w:rsidRDefault="00132EA6" w:rsidP="00067C98">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A1 je na zahtjev HAKOM-a dostavio i dodatne podatke o određenim troškovima te je nejasno kako su konačni jedinični troškovi u modelu toliko veći od A1 troškova. Kako u modelu i u popratnoj dokumentaciji nigdje nije jasno navedeno što je točno uključeno u korišteni jedinični trošak pojedine mrežne komponente, teško je detaljnije komentirati opravdanost tako visokih jediničnih troškova korištenih u troškovnom modelu.</w:t>
            </w:r>
          </w:p>
          <w:p w14:paraId="3B4B20F5" w14:textId="4E949D49" w:rsidR="00132EA6" w:rsidRPr="00CE310D" w:rsidRDefault="00132EA6" w:rsidP="00067C98">
            <w:pPr>
              <w:pStyle w:val="ListParagraph"/>
              <w:ind w:left="-101"/>
              <w:jc w:val="both"/>
              <w:rPr>
                <w:rFonts w:asciiTheme="minorHAnsi" w:hAnsiTheme="minorHAnsi" w:cstheme="minorHAnsi"/>
                <w:sz w:val="20"/>
                <w:szCs w:val="20"/>
              </w:rPr>
            </w:pPr>
          </w:p>
          <w:p w14:paraId="782135C6" w14:textId="5D367BF0" w:rsidR="00132EA6" w:rsidRPr="00CE310D" w:rsidRDefault="00132EA6" w:rsidP="00067C98">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Primjer jednog vrlo netransparentnog troška su jedinični troškovi distribucijskih čvorova koji u dostavljenoj verziji troškovnog modela za određeni tip distribucij</w:t>
            </w:r>
            <w:r w:rsidR="00B34D23" w:rsidRPr="00CE310D">
              <w:rPr>
                <w:rFonts w:asciiTheme="minorHAnsi" w:hAnsiTheme="minorHAnsi" w:cstheme="minorHAnsi"/>
                <w:sz w:val="20"/>
                <w:szCs w:val="20"/>
              </w:rPr>
              <w:t>skog čvora rastu čak preko 800%</w:t>
            </w:r>
            <w:r w:rsidRPr="00CE310D">
              <w:rPr>
                <w:rFonts w:asciiTheme="minorHAnsi" w:hAnsiTheme="minorHAnsi" w:cstheme="minorHAnsi"/>
                <w:sz w:val="20"/>
                <w:szCs w:val="20"/>
              </w:rPr>
              <w:t xml:space="preserve"> (iako se u popratnoj dokumentaciji navodi povećanje od samo </w:t>
            </w:r>
            <w:r w:rsidRPr="00CE310D">
              <w:rPr>
                <w:rFonts w:asciiTheme="minorHAnsi" w:hAnsiTheme="minorHAnsi" w:cstheme="minorHAnsi"/>
                <w:sz w:val="20"/>
                <w:szCs w:val="20"/>
              </w:rPr>
              <w:lastRenderedPageBreak/>
              <w:t xml:space="preserve">13%). Sadržaj (specifikacija) navedenih troškova je osobito bitna iz razloga što se u ovoj verziji troškovnog modela u zasebnom radnom listu računa i trošak najma prostora u distribucijskom čvoru pa je bitno osigurati da se određeni troškovi ne nadoknađuju više puta. Slična je situacija i npr. s troškovima svjetlovodnih kabela čiji se jedinični troškovi u dostavljenom modelu kreću od 3 do 10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 xml:space="preserve">/m, dok su troškovi navedenih kabela u troškovnicima iz standardnih ponuda HT-a barem 3-4 puta niži (npr. cijena 96-nitnog svjetlovodnog kabela u FA-PON </w:t>
            </w:r>
            <w:proofErr w:type="spellStart"/>
            <w:r w:rsidRPr="00CE310D">
              <w:rPr>
                <w:rFonts w:asciiTheme="minorHAnsi" w:hAnsiTheme="minorHAnsi" w:cstheme="minorHAnsi"/>
                <w:sz w:val="20"/>
                <w:szCs w:val="20"/>
              </w:rPr>
              <w:t>SP</w:t>
            </w:r>
            <w:proofErr w:type="spellEnd"/>
            <w:r w:rsidRPr="00CE310D">
              <w:rPr>
                <w:rFonts w:asciiTheme="minorHAnsi" w:hAnsiTheme="minorHAnsi" w:cstheme="minorHAnsi"/>
                <w:sz w:val="20"/>
                <w:szCs w:val="20"/>
              </w:rPr>
              <w:t xml:space="preserve"> HT-a iznosi 1,61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 xml:space="preserve">/m, dok se u modelu koristi jedinični trošak od čak 5,9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 xml:space="preserve">/m za zračni i 4,8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/m za podzemni svjetlovodni kabel) pa je nejasno na što se točno odnosi tako značajna razlika. Čak kad se uključe i troškovi instalacije kabela, nemoguće je doći do navedenih iznosa koji se koriste u troškovnom modelu. Stoga je prijedlog A1 da se uz svaki korišteni jedinični trošak dodatno navede što je uključeno u isti kako bi bilo jasno od kuda dolaze tako značajne razlike u korištenim troškovima u odnosu na troškove ostalih operatora i javno objavljenih troškovnika HT-a u drugim dokumentima.</w:t>
            </w:r>
          </w:p>
        </w:tc>
        <w:tc>
          <w:tcPr>
            <w:tcW w:w="1936" w:type="pct"/>
            <w:tcBorders>
              <w:top w:val="single" w:sz="6" w:space="0" w:color="CCCCCC"/>
              <w:left w:val="single" w:sz="6" w:space="0" w:color="CCCCCC"/>
              <w:bottom w:val="single" w:sz="6" w:space="0" w:color="CCCCCC"/>
              <w:right w:val="single" w:sz="6" w:space="0" w:color="CCCCCC"/>
            </w:tcBorders>
          </w:tcPr>
          <w:p w14:paraId="0DB68303" w14:textId="241A9464" w:rsidR="00D3452D" w:rsidRDefault="00800CCF" w:rsidP="00800CCF">
            <w:pPr>
              <w:ind w:left="39"/>
              <w:jc w:val="both"/>
              <w:rPr>
                <w:rFonts w:asciiTheme="minorHAnsi" w:hAnsiTheme="minorHAnsi" w:cstheme="minorHAnsi"/>
                <w:sz w:val="20"/>
                <w:szCs w:val="20"/>
              </w:rPr>
            </w:pPr>
            <w:r w:rsidRPr="00800CCF">
              <w:rPr>
                <w:rFonts w:asciiTheme="minorHAnsi" w:hAnsiTheme="minorHAnsi" w:cstheme="minorHAnsi"/>
                <w:sz w:val="20"/>
                <w:szCs w:val="20"/>
              </w:rPr>
              <w:lastRenderedPageBreak/>
              <w:t>Kako je već nav</w:t>
            </w:r>
            <w:r w:rsidR="0038675F">
              <w:rPr>
                <w:rFonts w:asciiTheme="minorHAnsi" w:hAnsiTheme="minorHAnsi" w:cstheme="minorHAnsi"/>
                <w:sz w:val="20"/>
                <w:szCs w:val="20"/>
              </w:rPr>
              <w:t>e</w:t>
            </w:r>
            <w:r w:rsidRPr="00800CCF">
              <w:rPr>
                <w:rFonts w:asciiTheme="minorHAnsi" w:hAnsiTheme="minorHAnsi" w:cstheme="minorHAnsi"/>
                <w:sz w:val="20"/>
                <w:szCs w:val="20"/>
              </w:rPr>
              <w:t>d</w:t>
            </w:r>
            <w:r w:rsidR="0038675F">
              <w:rPr>
                <w:rFonts w:asciiTheme="minorHAnsi" w:hAnsiTheme="minorHAnsi" w:cstheme="minorHAnsi"/>
                <w:sz w:val="20"/>
                <w:szCs w:val="20"/>
              </w:rPr>
              <w:t>e</w:t>
            </w:r>
            <w:r w:rsidRPr="00800CCF">
              <w:rPr>
                <w:rFonts w:asciiTheme="minorHAnsi" w:hAnsiTheme="minorHAnsi" w:cstheme="minorHAnsi"/>
                <w:sz w:val="20"/>
                <w:szCs w:val="20"/>
              </w:rPr>
              <w:t>no</w:t>
            </w:r>
            <w:r w:rsidR="0038675F">
              <w:rPr>
                <w:rFonts w:asciiTheme="minorHAnsi" w:hAnsiTheme="minorHAnsi" w:cstheme="minorHAnsi"/>
                <w:sz w:val="20"/>
                <w:szCs w:val="20"/>
              </w:rPr>
              <w:t>,</w:t>
            </w:r>
            <w:r w:rsidRPr="00800CCF">
              <w:rPr>
                <w:rFonts w:asciiTheme="minorHAnsi" w:hAnsiTheme="minorHAnsi" w:cstheme="minorHAnsi"/>
                <w:sz w:val="20"/>
                <w:szCs w:val="20"/>
              </w:rPr>
              <w:t xml:space="preserve"> </w:t>
            </w:r>
            <w:r>
              <w:rPr>
                <w:rFonts w:asciiTheme="minorHAnsi" w:hAnsiTheme="minorHAnsi" w:cstheme="minorHAnsi"/>
                <w:sz w:val="20"/>
                <w:szCs w:val="20"/>
              </w:rPr>
              <w:t>velika već</w:t>
            </w:r>
            <w:r w:rsidRPr="00800CCF">
              <w:rPr>
                <w:rFonts w:asciiTheme="minorHAnsi" w:hAnsiTheme="minorHAnsi" w:cstheme="minorHAnsi"/>
                <w:sz w:val="20"/>
                <w:szCs w:val="20"/>
              </w:rPr>
              <w:t xml:space="preserve">ina ulaznih podataka o jediničnim troškovima koji su ugrađeni u troškovni model </w:t>
            </w:r>
            <w:r w:rsidR="0038675F">
              <w:rPr>
                <w:rFonts w:asciiTheme="minorHAnsi" w:hAnsiTheme="minorHAnsi" w:cstheme="minorHAnsi"/>
                <w:sz w:val="20"/>
                <w:szCs w:val="20"/>
              </w:rPr>
              <w:t>su</w:t>
            </w:r>
            <w:r w:rsidRPr="00800CCF">
              <w:rPr>
                <w:rFonts w:asciiTheme="minorHAnsi" w:hAnsiTheme="minorHAnsi" w:cstheme="minorHAnsi"/>
                <w:sz w:val="20"/>
                <w:szCs w:val="20"/>
              </w:rPr>
              <w:t xml:space="preserve"> poda</w:t>
            </w:r>
            <w:r w:rsidR="0038675F">
              <w:rPr>
                <w:rFonts w:asciiTheme="minorHAnsi" w:hAnsiTheme="minorHAnsi" w:cstheme="minorHAnsi"/>
                <w:sz w:val="20"/>
                <w:szCs w:val="20"/>
              </w:rPr>
              <w:t>ci</w:t>
            </w:r>
            <w:r w:rsidRPr="00800CCF">
              <w:rPr>
                <w:rFonts w:asciiTheme="minorHAnsi" w:hAnsiTheme="minorHAnsi" w:cstheme="minorHAnsi"/>
                <w:sz w:val="20"/>
                <w:szCs w:val="20"/>
              </w:rPr>
              <w:t xml:space="preserve"> dostavljen</w:t>
            </w:r>
            <w:r w:rsidR="0038675F">
              <w:rPr>
                <w:rFonts w:asciiTheme="minorHAnsi" w:hAnsiTheme="minorHAnsi" w:cstheme="minorHAnsi"/>
                <w:sz w:val="20"/>
                <w:szCs w:val="20"/>
              </w:rPr>
              <w:t>i</w:t>
            </w:r>
            <w:r w:rsidRPr="00800CCF">
              <w:rPr>
                <w:rFonts w:asciiTheme="minorHAnsi" w:hAnsiTheme="minorHAnsi" w:cstheme="minorHAnsi"/>
                <w:sz w:val="20"/>
                <w:szCs w:val="20"/>
              </w:rPr>
              <w:t xml:space="preserve"> od HT-a</w:t>
            </w:r>
            <w:r w:rsidR="007F2176">
              <w:rPr>
                <w:rFonts w:asciiTheme="minorHAnsi" w:hAnsiTheme="minorHAnsi" w:cstheme="minorHAnsi"/>
                <w:sz w:val="20"/>
                <w:szCs w:val="20"/>
              </w:rPr>
              <w:t>.</w:t>
            </w:r>
          </w:p>
          <w:p w14:paraId="33626E9A" w14:textId="77777777" w:rsidR="00D3452D" w:rsidRDefault="00D3452D" w:rsidP="00800CCF">
            <w:pPr>
              <w:ind w:left="39"/>
              <w:jc w:val="both"/>
              <w:rPr>
                <w:rFonts w:asciiTheme="minorHAnsi" w:hAnsiTheme="minorHAnsi" w:cstheme="minorHAnsi"/>
                <w:sz w:val="20"/>
                <w:szCs w:val="20"/>
              </w:rPr>
            </w:pPr>
          </w:p>
          <w:p w14:paraId="424B44D0" w14:textId="0A3D5975" w:rsidR="00D3452D" w:rsidRDefault="007F2176" w:rsidP="00800CCF">
            <w:pPr>
              <w:ind w:left="39"/>
              <w:jc w:val="both"/>
              <w:rPr>
                <w:rFonts w:asciiTheme="minorHAnsi" w:hAnsiTheme="minorHAnsi" w:cstheme="minorHAnsi"/>
                <w:sz w:val="20"/>
                <w:szCs w:val="20"/>
              </w:rPr>
            </w:pPr>
            <w:r>
              <w:rPr>
                <w:rFonts w:asciiTheme="minorHAnsi" w:hAnsiTheme="minorHAnsi" w:cstheme="minorHAnsi"/>
                <w:sz w:val="20"/>
                <w:szCs w:val="20"/>
              </w:rPr>
              <w:t>Naime, u procesu prikupljanja podat</w:t>
            </w:r>
            <w:r w:rsidR="000A7970">
              <w:rPr>
                <w:rFonts w:asciiTheme="minorHAnsi" w:hAnsiTheme="minorHAnsi" w:cstheme="minorHAnsi"/>
                <w:sz w:val="20"/>
                <w:szCs w:val="20"/>
              </w:rPr>
              <w:t>a</w:t>
            </w:r>
            <w:r>
              <w:rPr>
                <w:rFonts w:asciiTheme="minorHAnsi" w:hAnsiTheme="minorHAnsi" w:cstheme="minorHAnsi"/>
                <w:sz w:val="20"/>
                <w:szCs w:val="20"/>
              </w:rPr>
              <w:t>ka HAKOM je proveo detaljnu analizu i usporedbu dostavljenih podatka od svih operatora. Međutim,</w:t>
            </w:r>
            <w:r w:rsidR="005777ED">
              <w:rPr>
                <w:rFonts w:asciiTheme="minorHAnsi" w:hAnsiTheme="minorHAnsi" w:cstheme="minorHAnsi"/>
                <w:sz w:val="20"/>
                <w:szCs w:val="20"/>
              </w:rPr>
              <w:t xml:space="preserve"> dostavljeni podaci o jediničnim </w:t>
            </w:r>
            <w:proofErr w:type="spellStart"/>
            <w:r w:rsidR="005777ED">
              <w:rPr>
                <w:rFonts w:asciiTheme="minorHAnsi" w:hAnsiTheme="minorHAnsi" w:cstheme="minorHAnsi"/>
                <w:sz w:val="20"/>
                <w:szCs w:val="20"/>
              </w:rPr>
              <w:t>troškovim</w:t>
            </w:r>
            <w:proofErr w:type="spellEnd"/>
            <w:r w:rsidR="005777ED">
              <w:rPr>
                <w:rFonts w:asciiTheme="minorHAnsi" w:hAnsiTheme="minorHAnsi" w:cstheme="minorHAnsi"/>
                <w:sz w:val="20"/>
                <w:szCs w:val="20"/>
              </w:rPr>
              <w:t xml:space="preserve"> za iste mrežne elemente značajno se razlikuju po operatorima. Naime, za iste mrežne eleme</w:t>
            </w:r>
            <w:r w:rsidR="000A7970">
              <w:rPr>
                <w:rFonts w:asciiTheme="minorHAnsi" w:hAnsiTheme="minorHAnsi" w:cstheme="minorHAnsi"/>
                <w:sz w:val="20"/>
                <w:szCs w:val="20"/>
              </w:rPr>
              <w:t>n</w:t>
            </w:r>
            <w:r w:rsidR="005777ED">
              <w:rPr>
                <w:rFonts w:asciiTheme="minorHAnsi" w:hAnsiTheme="minorHAnsi" w:cstheme="minorHAnsi"/>
                <w:sz w:val="20"/>
                <w:szCs w:val="20"/>
              </w:rPr>
              <w:t>te operatori su dostavljali različite strukture jediničnih troškova</w:t>
            </w:r>
            <w:r w:rsidR="003E7909">
              <w:rPr>
                <w:rFonts w:asciiTheme="minorHAnsi" w:hAnsiTheme="minorHAnsi" w:cstheme="minorHAnsi"/>
                <w:sz w:val="20"/>
                <w:szCs w:val="20"/>
              </w:rPr>
              <w:t>.</w:t>
            </w:r>
            <w:r w:rsidR="00815369">
              <w:rPr>
                <w:rFonts w:asciiTheme="minorHAnsi" w:hAnsiTheme="minorHAnsi" w:cstheme="minorHAnsi"/>
                <w:sz w:val="20"/>
                <w:szCs w:val="20"/>
              </w:rPr>
              <w:t xml:space="preserve"> </w:t>
            </w:r>
            <w:r w:rsidR="003E7909">
              <w:rPr>
                <w:rFonts w:asciiTheme="minorHAnsi" w:hAnsiTheme="minorHAnsi" w:cstheme="minorHAnsi"/>
                <w:sz w:val="20"/>
                <w:szCs w:val="20"/>
              </w:rPr>
              <w:t xml:space="preserve">Npr. </w:t>
            </w:r>
            <w:r w:rsidR="00815369">
              <w:rPr>
                <w:rFonts w:asciiTheme="minorHAnsi" w:hAnsiTheme="minorHAnsi" w:cstheme="minorHAnsi"/>
                <w:sz w:val="20"/>
                <w:szCs w:val="20"/>
              </w:rPr>
              <w:t xml:space="preserve">za </w:t>
            </w:r>
            <w:r w:rsidR="00815369">
              <w:rPr>
                <w:rFonts w:asciiTheme="minorHAnsi" w:hAnsiTheme="minorHAnsi" w:cstheme="minorHAnsi"/>
                <w:sz w:val="20"/>
                <w:szCs w:val="20"/>
              </w:rPr>
              <w:lastRenderedPageBreak/>
              <w:t>mrežni eleme</w:t>
            </w:r>
            <w:r w:rsidR="001D308C">
              <w:rPr>
                <w:rFonts w:asciiTheme="minorHAnsi" w:hAnsiTheme="minorHAnsi" w:cstheme="minorHAnsi"/>
                <w:sz w:val="20"/>
                <w:szCs w:val="20"/>
              </w:rPr>
              <w:t>n</w:t>
            </w:r>
            <w:r w:rsidR="00815369">
              <w:rPr>
                <w:rFonts w:asciiTheme="minorHAnsi" w:hAnsiTheme="minorHAnsi" w:cstheme="minorHAnsi"/>
                <w:sz w:val="20"/>
                <w:szCs w:val="20"/>
              </w:rPr>
              <w:t xml:space="preserve">t </w:t>
            </w:r>
            <w:r w:rsidR="00815369" w:rsidRPr="00C14C99">
              <w:rPr>
                <w:rFonts w:asciiTheme="minorHAnsi" w:hAnsiTheme="minorHAnsi" w:cstheme="minorHAnsi"/>
                <w:i/>
                <w:sz w:val="20"/>
                <w:szCs w:val="20"/>
              </w:rPr>
              <w:t>svjetlovodni kabeli</w:t>
            </w:r>
            <w:r w:rsidR="00815369">
              <w:rPr>
                <w:rFonts w:asciiTheme="minorHAnsi" w:hAnsiTheme="minorHAnsi" w:cstheme="minorHAnsi"/>
                <w:sz w:val="20"/>
                <w:szCs w:val="20"/>
              </w:rPr>
              <w:t xml:space="preserve"> alternativni operatori uglavnom su dostavili samo jedinični trošak za svjetlovodni kabel bez troškova </w:t>
            </w:r>
            <w:r w:rsidR="00D3452D">
              <w:rPr>
                <w:rFonts w:asciiTheme="minorHAnsi" w:hAnsiTheme="minorHAnsi" w:cstheme="minorHAnsi"/>
                <w:sz w:val="20"/>
                <w:szCs w:val="20"/>
              </w:rPr>
              <w:t xml:space="preserve">ugradnje i </w:t>
            </w:r>
            <w:r w:rsidR="00815369">
              <w:rPr>
                <w:rFonts w:asciiTheme="minorHAnsi" w:hAnsiTheme="minorHAnsi" w:cstheme="minorHAnsi"/>
                <w:sz w:val="20"/>
                <w:szCs w:val="20"/>
              </w:rPr>
              <w:t>instalacij</w:t>
            </w:r>
            <w:r w:rsidR="001D308C">
              <w:rPr>
                <w:rFonts w:asciiTheme="minorHAnsi" w:hAnsiTheme="minorHAnsi" w:cstheme="minorHAnsi"/>
                <w:sz w:val="20"/>
                <w:szCs w:val="20"/>
              </w:rPr>
              <w:t>e</w:t>
            </w:r>
            <w:r w:rsidR="00815369">
              <w:rPr>
                <w:rFonts w:asciiTheme="minorHAnsi" w:hAnsiTheme="minorHAnsi" w:cstheme="minorHAnsi"/>
                <w:sz w:val="20"/>
                <w:szCs w:val="20"/>
              </w:rPr>
              <w:t xml:space="preserve"> navedenog kabela, dok </w:t>
            </w:r>
            <w:r w:rsidR="001D308C">
              <w:rPr>
                <w:rFonts w:asciiTheme="minorHAnsi" w:hAnsiTheme="minorHAnsi" w:cstheme="minorHAnsi"/>
                <w:sz w:val="20"/>
                <w:szCs w:val="20"/>
              </w:rPr>
              <w:t xml:space="preserve">je </w:t>
            </w:r>
            <w:r w:rsidR="00815369">
              <w:rPr>
                <w:rFonts w:asciiTheme="minorHAnsi" w:hAnsiTheme="minorHAnsi" w:cstheme="minorHAnsi"/>
                <w:sz w:val="20"/>
                <w:szCs w:val="20"/>
              </w:rPr>
              <w:t>s druge strane HT za isti mrežni eleme</w:t>
            </w:r>
            <w:r w:rsidR="001D308C">
              <w:rPr>
                <w:rFonts w:asciiTheme="minorHAnsi" w:hAnsiTheme="minorHAnsi" w:cstheme="minorHAnsi"/>
                <w:sz w:val="20"/>
                <w:szCs w:val="20"/>
              </w:rPr>
              <w:t>n</w:t>
            </w:r>
            <w:r w:rsidR="00815369">
              <w:rPr>
                <w:rFonts w:asciiTheme="minorHAnsi" w:hAnsiTheme="minorHAnsi" w:cstheme="minorHAnsi"/>
                <w:sz w:val="20"/>
                <w:szCs w:val="20"/>
              </w:rPr>
              <w:t>t dostavio ukupne troškove što uključuje trošak kabela te trošk</w:t>
            </w:r>
            <w:r w:rsidR="00D3452D">
              <w:rPr>
                <w:rFonts w:asciiTheme="minorHAnsi" w:hAnsiTheme="minorHAnsi" w:cstheme="minorHAnsi"/>
                <w:sz w:val="20"/>
                <w:szCs w:val="20"/>
              </w:rPr>
              <w:t>ove</w:t>
            </w:r>
            <w:r w:rsidR="00815369">
              <w:rPr>
                <w:rFonts w:asciiTheme="minorHAnsi" w:hAnsiTheme="minorHAnsi" w:cstheme="minorHAnsi"/>
                <w:sz w:val="20"/>
                <w:szCs w:val="20"/>
              </w:rPr>
              <w:t xml:space="preserve"> instalacije i izr</w:t>
            </w:r>
            <w:r w:rsidR="00D3452D">
              <w:rPr>
                <w:rFonts w:asciiTheme="minorHAnsi" w:hAnsiTheme="minorHAnsi" w:cstheme="minorHAnsi"/>
                <w:sz w:val="20"/>
                <w:szCs w:val="20"/>
              </w:rPr>
              <w:t>ade</w:t>
            </w:r>
            <w:r w:rsidR="00815369">
              <w:rPr>
                <w:rFonts w:asciiTheme="minorHAnsi" w:hAnsiTheme="minorHAnsi" w:cstheme="minorHAnsi"/>
                <w:sz w:val="20"/>
                <w:szCs w:val="20"/>
              </w:rPr>
              <w:t xml:space="preserve"> tehničke </w:t>
            </w:r>
            <w:proofErr w:type="spellStart"/>
            <w:r w:rsidR="00815369">
              <w:rPr>
                <w:rFonts w:asciiTheme="minorHAnsi" w:hAnsiTheme="minorHAnsi" w:cstheme="minorHAnsi"/>
                <w:sz w:val="20"/>
                <w:szCs w:val="20"/>
              </w:rPr>
              <w:t>dukumentacij</w:t>
            </w:r>
            <w:r w:rsidR="001D308C">
              <w:rPr>
                <w:rFonts w:asciiTheme="minorHAnsi" w:hAnsiTheme="minorHAnsi" w:cstheme="minorHAnsi"/>
                <w:sz w:val="20"/>
                <w:szCs w:val="20"/>
              </w:rPr>
              <w:t>e</w:t>
            </w:r>
            <w:proofErr w:type="spellEnd"/>
            <w:r w:rsidR="00815369">
              <w:rPr>
                <w:rFonts w:asciiTheme="minorHAnsi" w:hAnsiTheme="minorHAnsi" w:cstheme="minorHAnsi"/>
                <w:sz w:val="20"/>
                <w:szCs w:val="20"/>
              </w:rPr>
              <w:t xml:space="preserve">. </w:t>
            </w:r>
            <w:r w:rsidR="00D3452D">
              <w:rPr>
                <w:rFonts w:asciiTheme="minorHAnsi" w:hAnsiTheme="minorHAnsi" w:cstheme="minorHAnsi"/>
                <w:sz w:val="20"/>
                <w:szCs w:val="20"/>
              </w:rPr>
              <w:t>Sukladno metodološkim načelima, HAKOM smatra da je opravdano prihvatiti sve troškove vezane za pojedini mr</w:t>
            </w:r>
            <w:r w:rsidR="00ED0D7B">
              <w:rPr>
                <w:rFonts w:asciiTheme="minorHAnsi" w:hAnsiTheme="minorHAnsi" w:cstheme="minorHAnsi"/>
                <w:sz w:val="20"/>
                <w:szCs w:val="20"/>
              </w:rPr>
              <w:t>e</w:t>
            </w:r>
            <w:r w:rsidR="00D3452D">
              <w:rPr>
                <w:rFonts w:asciiTheme="minorHAnsi" w:hAnsiTheme="minorHAnsi" w:cstheme="minorHAnsi"/>
                <w:sz w:val="20"/>
                <w:szCs w:val="20"/>
              </w:rPr>
              <w:t xml:space="preserve">žni element kako bi modelirani operator mogao </w:t>
            </w:r>
            <w:r w:rsidR="00634F85">
              <w:rPr>
                <w:rFonts w:asciiTheme="minorHAnsi" w:hAnsiTheme="minorHAnsi" w:cstheme="minorHAnsi"/>
                <w:sz w:val="20"/>
                <w:szCs w:val="20"/>
              </w:rPr>
              <w:t>nadoknaditi</w:t>
            </w:r>
            <w:r w:rsidR="00D3452D">
              <w:rPr>
                <w:rFonts w:asciiTheme="minorHAnsi" w:hAnsiTheme="minorHAnsi" w:cstheme="minorHAnsi"/>
                <w:sz w:val="20"/>
                <w:szCs w:val="20"/>
              </w:rPr>
              <w:t xml:space="preserve"> sve troškove koji mu nastaju u mreži.</w:t>
            </w:r>
          </w:p>
          <w:p w14:paraId="14FAB331" w14:textId="77777777" w:rsidR="00D3452D" w:rsidRDefault="00D3452D" w:rsidP="00800CCF">
            <w:pPr>
              <w:ind w:left="39"/>
              <w:jc w:val="both"/>
              <w:rPr>
                <w:rFonts w:asciiTheme="minorHAnsi" w:hAnsiTheme="minorHAnsi" w:cstheme="minorHAnsi"/>
                <w:sz w:val="20"/>
                <w:szCs w:val="20"/>
              </w:rPr>
            </w:pPr>
          </w:p>
          <w:p w14:paraId="2D18D2AF" w14:textId="2EF4F1AA" w:rsidR="00132EA6" w:rsidRPr="00800CCF" w:rsidRDefault="00D3452D" w:rsidP="00ED0D7B">
            <w:pPr>
              <w:ind w:left="39"/>
              <w:jc w:val="both"/>
              <w:rPr>
                <w:rFonts w:asciiTheme="minorHAnsi" w:hAnsiTheme="minorHAnsi" w:cstheme="minorHAnsi"/>
                <w:sz w:val="20"/>
                <w:szCs w:val="20"/>
              </w:rPr>
            </w:pPr>
            <w:r>
              <w:rPr>
                <w:rFonts w:asciiTheme="minorHAnsi" w:hAnsiTheme="minorHAnsi" w:cstheme="minorHAnsi"/>
                <w:sz w:val="20"/>
                <w:szCs w:val="20"/>
              </w:rPr>
              <w:t xml:space="preserve">Vezano </w:t>
            </w:r>
            <w:r w:rsidR="00075426">
              <w:rPr>
                <w:rFonts w:asciiTheme="minorHAnsi" w:hAnsiTheme="minorHAnsi" w:cstheme="minorHAnsi"/>
                <w:sz w:val="20"/>
                <w:szCs w:val="20"/>
              </w:rPr>
              <w:t>za</w:t>
            </w:r>
            <w:r>
              <w:rPr>
                <w:rFonts w:asciiTheme="minorHAnsi" w:hAnsiTheme="minorHAnsi" w:cstheme="minorHAnsi"/>
                <w:sz w:val="20"/>
                <w:szCs w:val="20"/>
              </w:rPr>
              <w:t xml:space="preserve"> </w:t>
            </w:r>
            <w:r w:rsidR="00275202">
              <w:rPr>
                <w:rFonts w:asciiTheme="minorHAnsi" w:hAnsiTheme="minorHAnsi" w:cstheme="minorHAnsi"/>
                <w:sz w:val="20"/>
                <w:szCs w:val="20"/>
              </w:rPr>
              <w:t>jedinične troškove distribucijskih čvorova, HAKOM će uskladi</w:t>
            </w:r>
            <w:r w:rsidR="00ED0D7B">
              <w:rPr>
                <w:rFonts w:asciiTheme="minorHAnsi" w:hAnsiTheme="minorHAnsi" w:cstheme="minorHAnsi"/>
                <w:sz w:val="20"/>
                <w:szCs w:val="20"/>
              </w:rPr>
              <w:t>ti</w:t>
            </w:r>
            <w:r w:rsidR="00734F1A">
              <w:rPr>
                <w:rFonts w:asciiTheme="minorHAnsi" w:hAnsiTheme="minorHAnsi" w:cstheme="minorHAnsi"/>
                <w:sz w:val="20"/>
                <w:szCs w:val="20"/>
              </w:rPr>
              <w:t xml:space="preserve"> postotnu promjenu</w:t>
            </w:r>
            <w:r w:rsidR="00275202">
              <w:rPr>
                <w:rFonts w:asciiTheme="minorHAnsi" w:hAnsiTheme="minorHAnsi" w:cstheme="minorHAnsi"/>
                <w:sz w:val="20"/>
                <w:szCs w:val="20"/>
              </w:rPr>
              <w:t xml:space="preserve"> povećanj</w:t>
            </w:r>
            <w:r w:rsidR="00734F1A">
              <w:rPr>
                <w:rFonts w:asciiTheme="minorHAnsi" w:hAnsiTheme="minorHAnsi" w:cstheme="minorHAnsi"/>
                <w:sz w:val="20"/>
                <w:szCs w:val="20"/>
              </w:rPr>
              <w:t>a</w:t>
            </w:r>
            <w:r w:rsidR="00275202">
              <w:rPr>
                <w:rFonts w:asciiTheme="minorHAnsi" w:hAnsiTheme="minorHAnsi" w:cstheme="minorHAnsi"/>
                <w:sz w:val="20"/>
                <w:szCs w:val="20"/>
              </w:rPr>
              <w:t xml:space="preserve"> navedenih troškova iskazano u popratnoj dokumentaci</w:t>
            </w:r>
            <w:r w:rsidR="00ED0D7B">
              <w:rPr>
                <w:rFonts w:asciiTheme="minorHAnsi" w:hAnsiTheme="minorHAnsi" w:cstheme="minorHAnsi"/>
                <w:sz w:val="20"/>
                <w:szCs w:val="20"/>
              </w:rPr>
              <w:t>ji</w:t>
            </w:r>
            <w:r w:rsidR="00275202">
              <w:rPr>
                <w:rFonts w:asciiTheme="minorHAnsi" w:hAnsiTheme="minorHAnsi" w:cstheme="minorHAnsi"/>
                <w:sz w:val="20"/>
                <w:szCs w:val="20"/>
              </w:rPr>
              <w:t xml:space="preserve"> sa stvarnim povećanjem troškova u modelu. Također, HAKOM će dodatno po</w:t>
            </w:r>
            <w:r w:rsidR="00ED0D7B">
              <w:rPr>
                <w:rFonts w:asciiTheme="minorHAnsi" w:hAnsiTheme="minorHAnsi" w:cstheme="minorHAnsi"/>
                <w:sz w:val="20"/>
                <w:szCs w:val="20"/>
              </w:rPr>
              <w:t>ja</w:t>
            </w:r>
            <w:r w:rsidR="00275202">
              <w:rPr>
                <w:rFonts w:asciiTheme="minorHAnsi" w:hAnsiTheme="minorHAnsi" w:cstheme="minorHAnsi"/>
                <w:sz w:val="20"/>
                <w:szCs w:val="20"/>
              </w:rPr>
              <w:t>sniti izračun i specifikaciju troškova u zasebnom radnom listu u kojem se računa</w:t>
            </w:r>
            <w:r w:rsidR="00275202">
              <w:t xml:space="preserve"> </w:t>
            </w:r>
            <w:r w:rsidR="00275202" w:rsidRPr="00275202">
              <w:rPr>
                <w:rFonts w:asciiTheme="minorHAnsi" w:hAnsiTheme="minorHAnsi" w:cstheme="minorHAnsi"/>
                <w:sz w:val="20"/>
                <w:szCs w:val="20"/>
              </w:rPr>
              <w:t>trošak najma prostora u distribucijskom čvoru</w:t>
            </w:r>
            <w:r w:rsidR="00275202">
              <w:rPr>
                <w:rFonts w:asciiTheme="minorHAnsi" w:hAnsiTheme="minorHAnsi" w:cstheme="minorHAnsi"/>
                <w:sz w:val="20"/>
                <w:szCs w:val="20"/>
              </w:rPr>
              <w:t xml:space="preserve">.   </w:t>
            </w:r>
          </w:p>
        </w:tc>
      </w:tr>
      <w:tr w:rsidR="00132EA6" w:rsidRPr="00CE310D" w14:paraId="4990B3AE"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4ED3F3C7" w14:textId="5FAAD1D6"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lastRenderedPageBreak/>
              <w:t xml:space="preserve">3. </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43BF1A2" w14:textId="72830E79" w:rsidR="00132EA6" w:rsidRPr="00CE310D" w:rsidRDefault="00132EA6" w:rsidP="00132EA6">
            <w:pPr>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4AC952F" w14:textId="77777777" w:rsidR="00132EA6" w:rsidRPr="00CE310D" w:rsidRDefault="00132EA6" w:rsidP="00132EA6">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U postupku ažuriranja troškovnog modela, za dio jediničnih troškova koji su prikupljeni u procesu prikupljanja podataka HAKOM je utvrdio kako isti nisu dovoljno pouzdani, razumni i usklađeni s uobičajenim jediničnim troškovima u industriji. Stoga je u troškovni model ugradio jedinične troškovi iz „alternativnih izvora“. Kako u </w:t>
            </w:r>
            <w:r w:rsidRPr="00CE310D">
              <w:rPr>
                <w:rFonts w:asciiTheme="minorHAnsi" w:hAnsiTheme="minorHAnsi" w:cstheme="minorHAnsi"/>
                <w:i/>
                <w:sz w:val="20"/>
                <w:szCs w:val="20"/>
              </w:rPr>
              <w:t>Izvještaju o izvršenom ažuriranju</w:t>
            </w:r>
            <w:r w:rsidRPr="00CE310D">
              <w:rPr>
                <w:rFonts w:asciiTheme="minorHAnsi" w:hAnsiTheme="minorHAnsi" w:cstheme="minorHAnsi"/>
                <w:sz w:val="20"/>
                <w:szCs w:val="20"/>
              </w:rPr>
              <w:t xml:space="preserve"> HAKOM nije izričito naveo koji su to alternativni izvori na tržištu,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ovim putem traži da se izvrši provjera i transparentno u Izvještaju navede o kojim je to alternativnim izvorima riječ. </w:t>
            </w:r>
          </w:p>
          <w:p w14:paraId="4BE41E7D" w14:textId="77777777" w:rsidR="00132EA6" w:rsidRPr="00CE310D" w:rsidRDefault="00132EA6" w:rsidP="00132EA6">
            <w:pPr>
              <w:pStyle w:val="ListParagraph"/>
              <w:ind w:left="-101"/>
              <w:jc w:val="both"/>
              <w:rPr>
                <w:rFonts w:asciiTheme="minorHAnsi" w:hAnsiTheme="minorHAnsi" w:cstheme="minorHAnsi"/>
                <w:sz w:val="20"/>
                <w:szCs w:val="20"/>
              </w:rPr>
            </w:pPr>
          </w:p>
          <w:p w14:paraId="09728944" w14:textId="38A38C51" w:rsidR="00132EA6" w:rsidRDefault="00132EA6" w:rsidP="00132EA6">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Uzevši u obzir iskazane postotne promjene vrijednosti jediničnih troškova navedene u Privitku 1 dokumenta „Ažuriranje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xml:space="preserve">+ troškovnog modela“,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ukazuje kako iz tih postotnih povećanja proizlazi da su novi jedinični troškovi koje je HAKOM koristio u modelu značajno viši od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-ovih troškova. </w:t>
            </w:r>
          </w:p>
          <w:p w14:paraId="754AC1E2" w14:textId="77777777" w:rsidR="00067C98" w:rsidRPr="00CE310D" w:rsidRDefault="00067C98" w:rsidP="00132EA6">
            <w:pPr>
              <w:pStyle w:val="ListParagraph"/>
              <w:ind w:left="-101"/>
              <w:jc w:val="both"/>
              <w:rPr>
                <w:rFonts w:asciiTheme="minorHAnsi" w:hAnsiTheme="minorHAnsi" w:cstheme="minorHAnsi"/>
                <w:sz w:val="20"/>
                <w:szCs w:val="20"/>
              </w:rPr>
            </w:pPr>
          </w:p>
          <w:p w14:paraId="0A089FBE" w14:textId="6FEBE9D3" w:rsidR="00132EA6" w:rsidRDefault="00132EA6" w:rsidP="00132EA6">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Nije jasno ni koji su izvori takvih visokih troškova, odnosno njihovog značajnog povećanja, ni zbog čega se u modelu priznaju troškovi koji, prema podacima koji su nam dostupni, ne odgovaraju tržištu, odnosno značajno su viši. </w:t>
            </w:r>
          </w:p>
          <w:p w14:paraId="48763ADD" w14:textId="77777777" w:rsidR="00067C98" w:rsidRPr="00CE310D" w:rsidRDefault="00067C98" w:rsidP="00132EA6">
            <w:pPr>
              <w:pStyle w:val="ListParagraph"/>
              <w:ind w:left="-101"/>
              <w:jc w:val="both"/>
              <w:rPr>
                <w:rFonts w:asciiTheme="minorHAnsi" w:hAnsiTheme="minorHAnsi" w:cstheme="minorHAnsi"/>
                <w:sz w:val="20"/>
                <w:szCs w:val="20"/>
              </w:rPr>
            </w:pPr>
          </w:p>
          <w:p w14:paraId="3A7D59F0" w14:textId="03E531B9" w:rsidR="00067C98" w:rsidRDefault="00132EA6" w:rsidP="00132EA6">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S tim u vezi primjera radi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izdvaja podatak iz Privitka 1. dokumenta „Ažuriranje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xml:space="preserve">+ troškovnog modela“ Postotna promjena jediničnih troškova mrežnih elemenata: - „Access </w:t>
            </w:r>
            <w:proofErr w:type="spellStart"/>
            <w:r w:rsidRPr="00CE310D">
              <w:rPr>
                <w:rFonts w:asciiTheme="minorHAnsi" w:hAnsiTheme="minorHAnsi" w:cstheme="minorHAnsi"/>
                <w:sz w:val="20"/>
                <w:szCs w:val="20"/>
              </w:rPr>
              <w:t>Fibre</w:t>
            </w:r>
            <w:proofErr w:type="spellEnd"/>
            <w:r w:rsidRPr="00CE310D">
              <w:rPr>
                <w:rFonts w:asciiTheme="minorHAnsi" w:hAnsiTheme="minorHAnsi" w:cstheme="minorHAnsi"/>
                <w:sz w:val="20"/>
                <w:szCs w:val="20"/>
              </w:rPr>
              <w:t xml:space="preserve"> Cable.96 </w:t>
            </w:r>
            <w:proofErr w:type="spellStart"/>
            <w:r w:rsidRPr="00CE310D">
              <w:rPr>
                <w:rFonts w:asciiTheme="minorHAnsi" w:hAnsiTheme="minorHAnsi" w:cstheme="minorHAnsi"/>
                <w:sz w:val="20"/>
                <w:szCs w:val="20"/>
              </w:rPr>
              <w:t>strands</w:t>
            </w:r>
            <w:proofErr w:type="spellEnd"/>
            <w:r w:rsidRPr="00CE310D">
              <w:rPr>
                <w:rFonts w:asciiTheme="minorHAnsi" w:hAnsiTheme="minorHAnsi" w:cstheme="minorHAnsi"/>
                <w:sz w:val="20"/>
                <w:szCs w:val="20"/>
              </w:rPr>
              <w:t xml:space="preserve"> – </w:t>
            </w:r>
            <w:proofErr w:type="spellStart"/>
            <w:r w:rsidRPr="00CE310D">
              <w:rPr>
                <w:rFonts w:asciiTheme="minorHAnsi" w:hAnsiTheme="minorHAnsi" w:cstheme="minorHAnsi"/>
                <w:sz w:val="20"/>
                <w:szCs w:val="20"/>
              </w:rPr>
              <w:t>Underground.lenght</w:t>
            </w:r>
            <w:proofErr w:type="spellEnd"/>
            <w:r w:rsidRPr="00CE310D">
              <w:rPr>
                <w:rFonts w:asciiTheme="minorHAnsi" w:hAnsiTheme="minorHAnsi" w:cstheme="minorHAnsi"/>
                <w:sz w:val="20"/>
                <w:szCs w:val="20"/>
              </w:rPr>
              <w:t xml:space="preserve">“ za koje je navedeno postotno povećanje </w:t>
            </w:r>
            <w:proofErr w:type="spellStart"/>
            <w:r w:rsidRPr="00CE310D">
              <w:rPr>
                <w:rFonts w:asciiTheme="minorHAnsi" w:hAnsiTheme="minorHAnsi" w:cstheme="minorHAnsi"/>
                <w:sz w:val="20"/>
                <w:szCs w:val="20"/>
              </w:rPr>
              <w:t>CAPEX</w:t>
            </w:r>
            <w:proofErr w:type="spellEnd"/>
            <w:r w:rsidRPr="00CE310D">
              <w:rPr>
                <w:rFonts w:asciiTheme="minorHAnsi" w:hAnsiTheme="minorHAnsi" w:cstheme="minorHAnsi"/>
                <w:sz w:val="20"/>
                <w:szCs w:val="20"/>
              </w:rPr>
              <w:t xml:space="preserve">-a (2022/2018) od 24,4%. </w:t>
            </w:r>
            <w:proofErr w:type="spellStart"/>
            <w:r w:rsidR="00067C98">
              <w:rPr>
                <w:rFonts w:asciiTheme="minorHAnsi" w:hAnsiTheme="minorHAnsi" w:cstheme="minorHAnsi"/>
                <w:sz w:val="20"/>
                <w:szCs w:val="20"/>
              </w:rPr>
              <w:t>T</w:t>
            </w:r>
            <w:r w:rsidRPr="00CE310D">
              <w:rPr>
                <w:rFonts w:asciiTheme="minorHAnsi" w:hAnsiTheme="minorHAnsi" w:cstheme="minorHAnsi"/>
                <w:sz w:val="20"/>
                <w:szCs w:val="20"/>
              </w:rPr>
              <w:t>elemach</w:t>
            </w:r>
            <w:proofErr w:type="spellEnd"/>
            <w:r w:rsidRPr="00CE310D">
              <w:rPr>
                <w:rFonts w:asciiTheme="minorHAnsi" w:hAnsiTheme="minorHAnsi" w:cstheme="minorHAnsi"/>
                <w:sz w:val="20"/>
                <w:szCs w:val="20"/>
              </w:rPr>
              <w:t xml:space="preserve"> ističe da cijena predmetnog kabela, prema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-ovim podacima, nije u razmatranom razdoblju povećana, dapače ista je pala za -12%. Dakle, nije jasno temeljem čega je za tu stavku u troškovni model ušlo povećanja </w:t>
            </w:r>
            <w:proofErr w:type="spellStart"/>
            <w:r w:rsidRPr="00CE310D">
              <w:rPr>
                <w:rFonts w:asciiTheme="minorHAnsi" w:hAnsiTheme="minorHAnsi" w:cstheme="minorHAnsi"/>
                <w:sz w:val="20"/>
                <w:szCs w:val="20"/>
              </w:rPr>
              <w:t>CAPEX</w:t>
            </w:r>
            <w:proofErr w:type="spellEnd"/>
            <w:r w:rsidRPr="00CE310D">
              <w:rPr>
                <w:rFonts w:asciiTheme="minorHAnsi" w:hAnsiTheme="minorHAnsi" w:cstheme="minorHAnsi"/>
                <w:sz w:val="20"/>
                <w:szCs w:val="20"/>
              </w:rPr>
              <w:t xml:space="preserve">-a od 24,4%. </w:t>
            </w:r>
          </w:p>
          <w:p w14:paraId="5F9C57AD" w14:textId="77777777" w:rsidR="00067C98" w:rsidRDefault="00067C98" w:rsidP="00132EA6">
            <w:pPr>
              <w:pStyle w:val="ListParagraph"/>
              <w:ind w:left="-101"/>
              <w:jc w:val="both"/>
              <w:rPr>
                <w:rFonts w:asciiTheme="minorHAnsi" w:hAnsiTheme="minorHAnsi" w:cstheme="minorHAnsi"/>
                <w:sz w:val="20"/>
                <w:szCs w:val="20"/>
              </w:rPr>
            </w:pPr>
          </w:p>
          <w:p w14:paraId="45DEFFF3" w14:textId="326D4740" w:rsidR="00132EA6" w:rsidRPr="00CE310D" w:rsidRDefault="00132EA6" w:rsidP="00132EA6">
            <w:pPr>
              <w:pStyle w:val="ListParagraph"/>
              <w:ind w:left="-101"/>
              <w:jc w:val="both"/>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napominje da predmetna stavka služi kao primjer jednog jediničnog troška, međutim ista dovodi u pitanje svaku pojedinačnu stavku i pridijeljenu postotnu promjenu u periodu 2018</w:t>
            </w:r>
            <w:r w:rsidR="00AE5356">
              <w:rPr>
                <w:rFonts w:asciiTheme="minorHAnsi" w:hAnsiTheme="minorHAnsi" w:cstheme="minorHAnsi"/>
                <w:sz w:val="20"/>
                <w:szCs w:val="20"/>
              </w:rPr>
              <w:t>.</w:t>
            </w:r>
            <w:r w:rsidRPr="00CE310D">
              <w:rPr>
                <w:rFonts w:asciiTheme="minorHAnsi" w:hAnsiTheme="minorHAnsi" w:cstheme="minorHAnsi"/>
                <w:sz w:val="20"/>
                <w:szCs w:val="20"/>
              </w:rPr>
              <w:t xml:space="preserve">/2022.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smatra ovo dovoljnim razlogom da se pristupi novom i </w:t>
            </w:r>
            <w:proofErr w:type="spellStart"/>
            <w:r w:rsidRPr="00CE310D">
              <w:rPr>
                <w:rFonts w:asciiTheme="minorHAnsi" w:hAnsiTheme="minorHAnsi" w:cstheme="minorHAnsi"/>
                <w:sz w:val="20"/>
                <w:szCs w:val="20"/>
              </w:rPr>
              <w:t>transparentnijem</w:t>
            </w:r>
            <w:proofErr w:type="spellEnd"/>
            <w:r w:rsidRPr="00CE310D">
              <w:rPr>
                <w:rFonts w:asciiTheme="minorHAnsi" w:hAnsiTheme="minorHAnsi" w:cstheme="minorHAnsi"/>
                <w:sz w:val="20"/>
                <w:szCs w:val="20"/>
              </w:rPr>
              <w:t xml:space="preserve"> pristupu ažuriranju troškova jer je iz ovog primjera evidentno da se ažurirani podaci ne mogu prihvatiti bez sumnje i potrebe za detaljnom provjerom, a što nažalost nije moguće iz modela dostavljenog operatorima korisnicima. </w:t>
            </w:r>
          </w:p>
          <w:p w14:paraId="170DEEE9" w14:textId="77777777" w:rsidR="00132EA6" w:rsidRPr="00CE310D" w:rsidRDefault="00132EA6" w:rsidP="00132EA6">
            <w:pPr>
              <w:pStyle w:val="ListParagraph"/>
              <w:ind w:left="-101"/>
              <w:jc w:val="both"/>
              <w:rPr>
                <w:rFonts w:asciiTheme="minorHAnsi" w:hAnsiTheme="minorHAnsi" w:cstheme="minorHAnsi"/>
                <w:sz w:val="20"/>
                <w:szCs w:val="20"/>
              </w:rPr>
            </w:pPr>
          </w:p>
          <w:p w14:paraId="0C932E20" w14:textId="05E7E1CD" w:rsidR="00132EA6" w:rsidRDefault="00132EA6" w:rsidP="00132EA6">
            <w:pPr>
              <w:pStyle w:val="ListParagraph"/>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Dodatno,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podatak koji je apsolutno nelogičan, a od utjecaja je na izračun troškova i posljedično veleprodajne naknade za usluge na bakru. U dokumentu „Ažuriranje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troškovnog modela“ na stanici 13., Broj mrežnih elemenata u mreži, navedeno je da u pristupn</w:t>
            </w:r>
            <w:r w:rsidR="00B34D23" w:rsidRPr="00CE310D">
              <w:rPr>
                <w:rFonts w:asciiTheme="minorHAnsi" w:hAnsiTheme="minorHAnsi" w:cstheme="minorHAnsi"/>
                <w:sz w:val="20"/>
                <w:szCs w:val="20"/>
              </w:rPr>
              <w:t>oj bakrenoj mreži u 2023.</w:t>
            </w:r>
            <w:r w:rsidRPr="00CE310D">
              <w:rPr>
                <w:rFonts w:asciiTheme="minorHAnsi" w:hAnsiTheme="minorHAnsi" w:cstheme="minorHAnsi"/>
                <w:sz w:val="20"/>
                <w:szCs w:val="20"/>
              </w:rPr>
              <w:t xml:space="preserve"> ima 15.847 km pristupnih bakrenih</w:t>
            </w:r>
            <w:r w:rsidR="00B34D23" w:rsidRPr="00CE310D">
              <w:rPr>
                <w:rFonts w:asciiTheme="minorHAnsi" w:hAnsiTheme="minorHAnsi" w:cstheme="minorHAnsi"/>
                <w:sz w:val="20"/>
                <w:szCs w:val="20"/>
              </w:rPr>
              <w:t xml:space="preserve"> kabela više nego u 2020.</w:t>
            </w:r>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da taj podatak ne prihvaća kao istinit obzirom da operatori grade isključivo optičku mrežu i zaista nije jasno gdje bi se to u </w:t>
            </w:r>
            <w:r w:rsidR="00B34D23" w:rsidRPr="00CE310D">
              <w:rPr>
                <w:rFonts w:asciiTheme="minorHAnsi" w:hAnsiTheme="minorHAnsi" w:cstheme="minorHAnsi"/>
                <w:sz w:val="20"/>
                <w:szCs w:val="20"/>
              </w:rPr>
              <w:t>periodu od 2020. do 2023.</w:t>
            </w:r>
            <w:r w:rsidRPr="00CE310D">
              <w:rPr>
                <w:rFonts w:asciiTheme="minorHAnsi" w:hAnsiTheme="minorHAnsi" w:cstheme="minorHAnsi"/>
                <w:sz w:val="20"/>
                <w:szCs w:val="20"/>
              </w:rPr>
              <w:t xml:space="preserve"> položilo 15.847 km bakrenih kabela u pristupnoj mreži. Za</w:t>
            </w:r>
            <w:r w:rsidR="00B34D23" w:rsidRPr="00CE310D">
              <w:rPr>
                <w:rFonts w:asciiTheme="minorHAnsi" w:hAnsiTheme="minorHAnsi" w:cstheme="minorHAnsi"/>
                <w:sz w:val="20"/>
                <w:szCs w:val="20"/>
              </w:rPr>
              <w:t xml:space="preserve"> period od 2023. do 2027.</w:t>
            </w:r>
            <w:r w:rsidRPr="00CE310D">
              <w:rPr>
                <w:rFonts w:asciiTheme="minorHAnsi" w:hAnsiTheme="minorHAnsi" w:cstheme="minorHAnsi"/>
                <w:sz w:val="20"/>
                <w:szCs w:val="20"/>
              </w:rPr>
              <w:t xml:space="preserve"> nije naveden niti jedan kilometar povećanja bakrene mreže, što je razumno, ali nije jasno kakva se to regulatorna razlika dogodila u odnosu na period 2020. do 2023. zbog koje se sada više ne polaže bakar uopće, a do sada se polagao i to u tako značajnim količinama da mu se k</w:t>
            </w:r>
            <w:r w:rsidR="00B34D23" w:rsidRPr="00CE310D">
              <w:rPr>
                <w:rFonts w:asciiTheme="minorHAnsi" w:hAnsiTheme="minorHAnsi" w:cstheme="minorHAnsi"/>
                <w:sz w:val="20"/>
                <w:szCs w:val="20"/>
              </w:rPr>
              <w:t>oličina od 2020. do 2023.</w:t>
            </w:r>
            <w:r w:rsidRPr="00CE310D">
              <w:rPr>
                <w:rFonts w:asciiTheme="minorHAnsi" w:hAnsiTheme="minorHAnsi" w:cstheme="minorHAnsi"/>
                <w:sz w:val="20"/>
                <w:szCs w:val="20"/>
              </w:rPr>
              <w:t xml:space="preserve"> podigla za gotovo 23%. </w:t>
            </w:r>
          </w:p>
          <w:p w14:paraId="31C1CB28" w14:textId="77777777" w:rsidR="009468AE" w:rsidRPr="00CE310D" w:rsidRDefault="009468AE" w:rsidP="00132EA6">
            <w:pPr>
              <w:pStyle w:val="ListParagraph"/>
              <w:ind w:left="-101"/>
              <w:jc w:val="both"/>
              <w:rPr>
                <w:rFonts w:asciiTheme="minorHAnsi" w:hAnsiTheme="minorHAnsi" w:cstheme="minorHAnsi"/>
                <w:sz w:val="20"/>
                <w:szCs w:val="20"/>
              </w:rPr>
            </w:pPr>
          </w:p>
          <w:p w14:paraId="055D2E10" w14:textId="08459ADA" w:rsidR="00132EA6" w:rsidRDefault="00132EA6" w:rsidP="00132EA6">
            <w:pPr>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S time u vezi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da postoji više stotina tzv. dugotrajnih smetnji na HT bakrenoj mreži zbog čega korisnici operatora korisnika nemaju uslugu već više mjeseci (pa čak i duže). U većini slučajeva je za takve otklone potrebno realizirati mini projekte, eventualno izmjestiti dio neke trase, postaviti novi kabel. No, obzirom na to koliko takve tzv. dugotrajne smetnje traju, evidentno je da se čak ni takvi pojedinačni projekti ne izvršavaju, a kamoli da se položila nova bakrena pristupna mreža i to 15.847 km u tri godine. </w:t>
            </w:r>
          </w:p>
          <w:p w14:paraId="71525FCE" w14:textId="77777777" w:rsidR="00AE5356" w:rsidRPr="00CE310D" w:rsidRDefault="00AE5356" w:rsidP="00132EA6">
            <w:pPr>
              <w:ind w:left="-101"/>
              <w:jc w:val="both"/>
              <w:rPr>
                <w:rFonts w:asciiTheme="minorHAnsi" w:hAnsiTheme="minorHAnsi" w:cstheme="minorHAnsi"/>
                <w:sz w:val="20"/>
                <w:szCs w:val="20"/>
              </w:rPr>
            </w:pPr>
          </w:p>
          <w:p w14:paraId="62BCC446" w14:textId="2BCE1D30" w:rsidR="00132EA6" w:rsidRDefault="00132EA6" w:rsidP="00132EA6">
            <w:pPr>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Dodatno je ta povećana količina nelogična kada uzmemo u obzir da se radi o cca 5.000 km bakrenih pristupnih kabela više godišnje, dok je za optičke pristupne kabele navedeno cca 2.000 km više godišnje. Obzirom da su sve investicije operatora već godinama usmjerene na izgradnju optičkih </w:t>
            </w:r>
            <w:r w:rsidR="00AE5356" w:rsidRPr="00CE310D">
              <w:rPr>
                <w:rFonts w:asciiTheme="minorHAnsi" w:hAnsiTheme="minorHAnsi" w:cstheme="minorHAnsi"/>
                <w:sz w:val="20"/>
                <w:szCs w:val="20"/>
              </w:rPr>
              <w:t>mrež</w:t>
            </w:r>
            <w:r w:rsidR="00AE5356">
              <w:rPr>
                <w:rFonts w:asciiTheme="minorHAnsi" w:hAnsiTheme="minorHAnsi" w:cstheme="minorHAnsi"/>
                <w:sz w:val="20"/>
                <w:szCs w:val="20"/>
              </w:rPr>
              <w:t>a</w:t>
            </w:r>
            <w:r w:rsidRPr="00CE310D">
              <w:rPr>
                <w:rFonts w:asciiTheme="minorHAnsi" w:hAnsiTheme="minorHAnsi" w:cstheme="minorHAnsi"/>
                <w:sz w:val="20"/>
                <w:szCs w:val="20"/>
              </w:rPr>
              <w:t xml:space="preserve">, nevjerojatno je da je u model ušao podatak o 3.000 km bakrenih pristupnih kabela više od optičkih pristupnih kabela u istom promatranom periodu. </w:t>
            </w:r>
          </w:p>
          <w:p w14:paraId="7E511135" w14:textId="77777777" w:rsidR="00AE5356" w:rsidRPr="00CE310D" w:rsidRDefault="00AE5356" w:rsidP="00132EA6">
            <w:pPr>
              <w:ind w:left="-101"/>
              <w:jc w:val="both"/>
              <w:rPr>
                <w:rFonts w:asciiTheme="minorHAnsi" w:hAnsiTheme="minorHAnsi" w:cstheme="minorHAnsi"/>
                <w:sz w:val="20"/>
                <w:szCs w:val="20"/>
              </w:rPr>
            </w:pPr>
          </w:p>
          <w:p w14:paraId="7EC28E90" w14:textId="1A0C29D6" w:rsidR="00132EA6" w:rsidRDefault="00132EA6" w:rsidP="00132EA6">
            <w:pPr>
              <w:ind w:left="-101"/>
              <w:jc w:val="both"/>
              <w:rPr>
                <w:rFonts w:asciiTheme="minorHAnsi" w:hAnsiTheme="minorHAnsi" w:cstheme="minorHAnsi"/>
                <w:sz w:val="20"/>
                <w:szCs w:val="20"/>
              </w:rPr>
            </w:pPr>
            <w:r w:rsidRPr="00CE310D">
              <w:rPr>
                <w:rFonts w:asciiTheme="minorHAnsi" w:hAnsiTheme="minorHAnsi" w:cstheme="minorHAnsi"/>
                <w:sz w:val="20"/>
                <w:szCs w:val="20"/>
              </w:rPr>
              <w:t xml:space="preserve">Također,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i nelogičnost u broju </w:t>
            </w:r>
            <w:proofErr w:type="spellStart"/>
            <w:r w:rsidRPr="00CE310D">
              <w:rPr>
                <w:rFonts w:asciiTheme="minorHAnsi" w:hAnsiTheme="minorHAnsi" w:cstheme="minorHAnsi"/>
                <w:sz w:val="20"/>
                <w:szCs w:val="20"/>
              </w:rPr>
              <w:t>DN</w:t>
            </w:r>
            <w:proofErr w:type="spellEnd"/>
            <w:r w:rsidRPr="00CE310D">
              <w:rPr>
                <w:rFonts w:asciiTheme="minorHAnsi" w:hAnsiTheme="minorHAnsi" w:cstheme="minorHAnsi"/>
                <w:sz w:val="20"/>
                <w:szCs w:val="20"/>
              </w:rPr>
              <w:t>-ova i njihovom povećanju</w:t>
            </w:r>
            <w:r w:rsidR="00B34D23" w:rsidRPr="00CE310D">
              <w:rPr>
                <w:rFonts w:asciiTheme="minorHAnsi" w:hAnsiTheme="minorHAnsi" w:cstheme="minorHAnsi"/>
                <w:sz w:val="20"/>
                <w:szCs w:val="20"/>
              </w:rPr>
              <w:t xml:space="preserve"> u usporedbi 2020</w:t>
            </w:r>
            <w:r w:rsidR="001641A4">
              <w:rPr>
                <w:rFonts w:asciiTheme="minorHAnsi" w:hAnsiTheme="minorHAnsi" w:cstheme="minorHAnsi"/>
                <w:sz w:val="20"/>
                <w:szCs w:val="20"/>
              </w:rPr>
              <w:t>.</w:t>
            </w:r>
            <w:r w:rsidR="00B34D23" w:rsidRPr="00CE310D">
              <w:rPr>
                <w:rFonts w:asciiTheme="minorHAnsi" w:hAnsiTheme="minorHAnsi" w:cstheme="minorHAnsi"/>
                <w:sz w:val="20"/>
                <w:szCs w:val="20"/>
              </w:rPr>
              <w:t xml:space="preserve"> – 2023.</w:t>
            </w:r>
            <w:r w:rsidRPr="00CE310D">
              <w:rPr>
                <w:rFonts w:asciiTheme="minorHAnsi" w:hAnsiTheme="minorHAnsi" w:cstheme="minorHAnsi"/>
                <w:sz w:val="20"/>
                <w:szCs w:val="20"/>
              </w:rPr>
              <w:t xml:space="preserve"> Za 2020. je navedeno da se radi</w:t>
            </w:r>
            <w:r w:rsidR="00B34D23" w:rsidRPr="00CE310D">
              <w:rPr>
                <w:rFonts w:asciiTheme="minorHAnsi" w:hAnsiTheme="minorHAnsi" w:cstheme="minorHAnsi"/>
                <w:sz w:val="20"/>
                <w:szCs w:val="20"/>
              </w:rPr>
              <w:t xml:space="preserve"> o 180 </w:t>
            </w:r>
            <w:proofErr w:type="spellStart"/>
            <w:r w:rsidR="00B34D23" w:rsidRPr="00CE310D">
              <w:rPr>
                <w:rFonts w:asciiTheme="minorHAnsi" w:hAnsiTheme="minorHAnsi" w:cstheme="minorHAnsi"/>
                <w:sz w:val="20"/>
                <w:szCs w:val="20"/>
              </w:rPr>
              <w:t>DN</w:t>
            </w:r>
            <w:proofErr w:type="spellEnd"/>
            <w:r w:rsidR="001641A4">
              <w:rPr>
                <w:rFonts w:asciiTheme="minorHAnsi" w:hAnsiTheme="minorHAnsi" w:cstheme="minorHAnsi"/>
                <w:sz w:val="20"/>
                <w:szCs w:val="20"/>
              </w:rPr>
              <w:t>-ova</w:t>
            </w:r>
            <w:r w:rsidR="00B34D23" w:rsidRPr="00CE310D">
              <w:rPr>
                <w:rFonts w:asciiTheme="minorHAnsi" w:hAnsiTheme="minorHAnsi" w:cstheme="minorHAnsi"/>
                <w:sz w:val="20"/>
                <w:szCs w:val="20"/>
              </w:rPr>
              <w:t>, dok se u 2023.</w:t>
            </w:r>
            <w:r w:rsidRPr="00CE310D">
              <w:rPr>
                <w:rFonts w:asciiTheme="minorHAnsi" w:hAnsiTheme="minorHAnsi" w:cstheme="minorHAnsi"/>
                <w:sz w:val="20"/>
                <w:szCs w:val="20"/>
              </w:rPr>
              <w:t xml:space="preserve"> radi o 1.246 </w:t>
            </w:r>
            <w:proofErr w:type="spellStart"/>
            <w:r w:rsidRPr="00CE310D">
              <w:rPr>
                <w:rFonts w:asciiTheme="minorHAnsi" w:hAnsiTheme="minorHAnsi" w:cstheme="minorHAnsi"/>
                <w:sz w:val="20"/>
                <w:szCs w:val="20"/>
              </w:rPr>
              <w:t>DN</w:t>
            </w:r>
            <w:proofErr w:type="spellEnd"/>
            <w:r w:rsidRPr="00CE310D">
              <w:rPr>
                <w:rFonts w:asciiTheme="minorHAnsi" w:hAnsiTheme="minorHAnsi" w:cstheme="minorHAnsi"/>
                <w:sz w:val="20"/>
                <w:szCs w:val="20"/>
              </w:rPr>
              <w:t xml:space="preserve">-ova. Ističemo da je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operator koji najbrže i najviše gradi u zadnje dvije i pol godine, a za pokrivanje cca 250 000 </w:t>
            </w:r>
            <w:proofErr w:type="spellStart"/>
            <w:r w:rsidRPr="00CE310D">
              <w:rPr>
                <w:rFonts w:asciiTheme="minorHAnsi" w:hAnsiTheme="minorHAnsi" w:cstheme="minorHAnsi"/>
                <w:sz w:val="20"/>
                <w:szCs w:val="20"/>
              </w:rPr>
              <w:t>HH</w:t>
            </w:r>
            <w:proofErr w:type="spellEnd"/>
            <w:r w:rsidRPr="00CE310D">
              <w:rPr>
                <w:rFonts w:asciiTheme="minorHAnsi" w:hAnsiTheme="minorHAnsi" w:cstheme="minorHAnsi"/>
                <w:sz w:val="20"/>
                <w:szCs w:val="20"/>
              </w:rPr>
              <w:t xml:space="preserve"> postavio je cca 260 </w:t>
            </w:r>
            <w:proofErr w:type="spellStart"/>
            <w:r w:rsidRPr="00CE310D">
              <w:rPr>
                <w:rFonts w:asciiTheme="minorHAnsi" w:hAnsiTheme="minorHAnsi" w:cstheme="minorHAnsi"/>
                <w:sz w:val="20"/>
                <w:szCs w:val="20"/>
              </w:rPr>
              <w:t>DN</w:t>
            </w:r>
            <w:proofErr w:type="spellEnd"/>
            <w:r w:rsidRPr="00CE310D">
              <w:rPr>
                <w:rFonts w:asciiTheme="minorHAnsi" w:hAnsiTheme="minorHAnsi" w:cstheme="minorHAnsi"/>
                <w:sz w:val="20"/>
                <w:szCs w:val="20"/>
              </w:rPr>
              <w:t xml:space="preserve">-ova. Stoga nije jasno povećanje u broju </w:t>
            </w:r>
            <w:proofErr w:type="spellStart"/>
            <w:r w:rsidRPr="00CE310D">
              <w:rPr>
                <w:rFonts w:asciiTheme="minorHAnsi" w:hAnsiTheme="minorHAnsi" w:cstheme="minorHAnsi"/>
                <w:sz w:val="20"/>
                <w:szCs w:val="20"/>
              </w:rPr>
              <w:t>DN</w:t>
            </w:r>
            <w:proofErr w:type="spellEnd"/>
            <w:r w:rsidRPr="00CE310D">
              <w:rPr>
                <w:rFonts w:asciiTheme="minorHAnsi" w:hAnsiTheme="minorHAnsi" w:cstheme="minorHAnsi"/>
                <w:sz w:val="20"/>
                <w:szCs w:val="20"/>
              </w:rPr>
              <w:t xml:space="preserve">-ova od preko 1000 u tri godine jer bi takvo povećanje, da se realno dogodilo, značilo puno veću pokrivenost optičkom mrežom nego što je to danas. </w:t>
            </w:r>
          </w:p>
          <w:p w14:paraId="70284BE6" w14:textId="77777777" w:rsidR="001641A4" w:rsidRPr="00CE310D" w:rsidRDefault="001641A4" w:rsidP="00132EA6">
            <w:pPr>
              <w:ind w:left="-101"/>
              <w:jc w:val="both"/>
              <w:rPr>
                <w:rFonts w:asciiTheme="minorHAnsi" w:hAnsiTheme="minorHAnsi" w:cstheme="minorHAnsi"/>
                <w:sz w:val="20"/>
                <w:szCs w:val="20"/>
              </w:rPr>
            </w:pPr>
          </w:p>
          <w:p w14:paraId="6C5B4748" w14:textId="72BD49A8" w:rsidR="00132EA6" w:rsidRPr="00862A5F" w:rsidRDefault="00132EA6" w:rsidP="00862A5F">
            <w:pPr>
              <w:jc w:val="both"/>
              <w:rPr>
                <w:rFonts w:asciiTheme="minorHAnsi" w:hAnsiTheme="minorHAnsi" w:cstheme="minorHAnsi"/>
                <w:sz w:val="20"/>
                <w:szCs w:val="20"/>
              </w:rPr>
            </w:pPr>
            <w:r w:rsidRPr="00CE310D">
              <w:rPr>
                <w:rFonts w:asciiTheme="minorHAnsi" w:hAnsiTheme="minorHAnsi" w:cstheme="minorHAnsi"/>
                <w:sz w:val="20"/>
                <w:szCs w:val="20"/>
              </w:rPr>
              <w:t xml:space="preserve">Uzimajući u obzir gore navedene primjere,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smatra da je očito da se radi o nelogičnostima i/ili pogrešnim količinama mrežnih elemenata te apeliraju da se isto ispravi. </w:t>
            </w:r>
            <w:r w:rsidRPr="00862A5F">
              <w:rPr>
                <w:rFonts w:asciiTheme="minorHAnsi" w:hAnsiTheme="minorHAnsi" w:cstheme="minorHAnsi"/>
                <w:sz w:val="20"/>
                <w:szCs w:val="20"/>
              </w:rPr>
              <w:t xml:space="preserve">Obzirom da ulazni podaci o jediničnim troškovima, a s time u vezi i količine mrežnih elemenata pretpostavljene modelom, značajno utječu na konačni izračun veleprodajnih cijena, </w:t>
            </w:r>
            <w:proofErr w:type="spellStart"/>
            <w:r w:rsidRPr="00862A5F">
              <w:rPr>
                <w:rFonts w:asciiTheme="minorHAnsi" w:hAnsiTheme="minorHAnsi" w:cstheme="minorHAnsi"/>
                <w:sz w:val="20"/>
                <w:szCs w:val="20"/>
              </w:rPr>
              <w:t>Telemach</w:t>
            </w:r>
            <w:proofErr w:type="spellEnd"/>
            <w:r w:rsidRPr="00862A5F">
              <w:rPr>
                <w:rFonts w:asciiTheme="minorHAnsi" w:hAnsiTheme="minorHAnsi" w:cstheme="minorHAnsi"/>
                <w:sz w:val="20"/>
                <w:szCs w:val="20"/>
              </w:rPr>
              <w:t xml:space="preserve"> poziva HAKOM da izvrši reviziju svih ulaznih jediničnih troškova i količina mrežnih elemenata u modelu te ispravi uočene nelogičnosti/pogreške. Također, obzirom da se HAKOM koristi alternativnim izvorima, smatraju da je nužno, radi transparentnosti, da se korišteni izvori objave.</w:t>
            </w:r>
          </w:p>
        </w:tc>
        <w:tc>
          <w:tcPr>
            <w:tcW w:w="1936" w:type="pct"/>
            <w:tcBorders>
              <w:top w:val="single" w:sz="6" w:space="0" w:color="CCCCCC"/>
              <w:left w:val="single" w:sz="6" w:space="0" w:color="CCCCCC"/>
              <w:bottom w:val="single" w:sz="6" w:space="0" w:color="CCCCCC"/>
              <w:right w:val="single" w:sz="6" w:space="0" w:color="CCCCCC"/>
            </w:tcBorders>
          </w:tcPr>
          <w:p w14:paraId="04CA87F3" w14:textId="77777777" w:rsidR="00132EA6" w:rsidRPr="00CE310D" w:rsidRDefault="00132EA6" w:rsidP="00132EA6">
            <w:pPr>
              <w:ind w:left="39"/>
              <w:rPr>
                <w:rFonts w:asciiTheme="minorHAnsi" w:hAnsiTheme="minorHAnsi" w:cstheme="minorHAnsi"/>
                <w:b/>
                <w:sz w:val="20"/>
                <w:szCs w:val="20"/>
              </w:rPr>
            </w:pPr>
          </w:p>
          <w:p w14:paraId="5A38FFC1" w14:textId="77777777" w:rsidR="00132EA6" w:rsidRDefault="00035E87" w:rsidP="00132EA6">
            <w:pPr>
              <w:ind w:left="39"/>
              <w:rPr>
                <w:rFonts w:asciiTheme="minorHAnsi" w:hAnsiTheme="minorHAnsi" w:cstheme="minorHAnsi"/>
                <w:sz w:val="20"/>
                <w:szCs w:val="20"/>
              </w:rPr>
            </w:pPr>
            <w:r w:rsidRPr="00035E87">
              <w:rPr>
                <w:rFonts w:asciiTheme="minorHAnsi" w:hAnsiTheme="minorHAnsi" w:cstheme="minorHAnsi"/>
                <w:sz w:val="20"/>
                <w:szCs w:val="20"/>
              </w:rPr>
              <w:t>Vidi odgovor na prethodni komentar</w:t>
            </w:r>
          </w:p>
          <w:p w14:paraId="0791AD14" w14:textId="77777777" w:rsidR="00823BC1" w:rsidRDefault="00823BC1" w:rsidP="00132EA6">
            <w:pPr>
              <w:ind w:left="39"/>
              <w:rPr>
                <w:rFonts w:asciiTheme="minorHAnsi" w:hAnsiTheme="minorHAnsi" w:cstheme="minorHAnsi"/>
                <w:sz w:val="20"/>
                <w:szCs w:val="20"/>
              </w:rPr>
            </w:pPr>
          </w:p>
          <w:p w14:paraId="34F7D393" w14:textId="77777777" w:rsidR="00823BC1" w:rsidRDefault="00823BC1" w:rsidP="00132EA6">
            <w:pPr>
              <w:ind w:left="39"/>
              <w:rPr>
                <w:rFonts w:asciiTheme="minorHAnsi" w:hAnsiTheme="minorHAnsi" w:cstheme="minorHAnsi"/>
                <w:sz w:val="20"/>
                <w:szCs w:val="20"/>
              </w:rPr>
            </w:pPr>
          </w:p>
          <w:p w14:paraId="1727B914" w14:textId="77777777" w:rsidR="00823BC1" w:rsidRDefault="00823BC1" w:rsidP="00132EA6">
            <w:pPr>
              <w:ind w:left="39"/>
              <w:rPr>
                <w:rFonts w:asciiTheme="minorHAnsi" w:hAnsiTheme="minorHAnsi" w:cstheme="minorHAnsi"/>
                <w:sz w:val="20"/>
                <w:szCs w:val="20"/>
              </w:rPr>
            </w:pPr>
          </w:p>
          <w:p w14:paraId="312EC36A" w14:textId="77777777" w:rsidR="00823BC1" w:rsidRDefault="00823BC1" w:rsidP="00132EA6">
            <w:pPr>
              <w:ind w:left="39"/>
              <w:rPr>
                <w:rFonts w:asciiTheme="minorHAnsi" w:hAnsiTheme="minorHAnsi" w:cstheme="minorHAnsi"/>
                <w:sz w:val="20"/>
                <w:szCs w:val="20"/>
              </w:rPr>
            </w:pPr>
          </w:p>
          <w:p w14:paraId="39D01252" w14:textId="77777777" w:rsidR="00823BC1" w:rsidRDefault="00823BC1" w:rsidP="00132EA6">
            <w:pPr>
              <w:ind w:left="39"/>
              <w:rPr>
                <w:rFonts w:asciiTheme="minorHAnsi" w:hAnsiTheme="minorHAnsi" w:cstheme="minorHAnsi"/>
                <w:sz w:val="20"/>
                <w:szCs w:val="20"/>
              </w:rPr>
            </w:pPr>
          </w:p>
          <w:p w14:paraId="0D5B9486" w14:textId="77777777" w:rsidR="00823BC1" w:rsidRDefault="00823BC1" w:rsidP="00132EA6">
            <w:pPr>
              <w:ind w:left="39"/>
              <w:rPr>
                <w:rFonts w:asciiTheme="minorHAnsi" w:hAnsiTheme="minorHAnsi" w:cstheme="minorHAnsi"/>
                <w:sz w:val="20"/>
                <w:szCs w:val="20"/>
              </w:rPr>
            </w:pPr>
          </w:p>
          <w:p w14:paraId="1CE35E6B" w14:textId="77777777" w:rsidR="00823BC1" w:rsidRDefault="00823BC1" w:rsidP="00132EA6">
            <w:pPr>
              <w:ind w:left="39"/>
              <w:rPr>
                <w:rFonts w:asciiTheme="minorHAnsi" w:hAnsiTheme="minorHAnsi" w:cstheme="minorHAnsi"/>
                <w:sz w:val="20"/>
                <w:szCs w:val="20"/>
              </w:rPr>
            </w:pPr>
          </w:p>
          <w:p w14:paraId="50A6B1AE" w14:textId="77777777" w:rsidR="00823BC1" w:rsidRDefault="00823BC1" w:rsidP="00132EA6">
            <w:pPr>
              <w:ind w:left="39"/>
              <w:rPr>
                <w:rFonts w:asciiTheme="minorHAnsi" w:hAnsiTheme="minorHAnsi" w:cstheme="minorHAnsi"/>
                <w:sz w:val="20"/>
                <w:szCs w:val="20"/>
              </w:rPr>
            </w:pPr>
          </w:p>
          <w:p w14:paraId="3A47B459" w14:textId="77777777" w:rsidR="00823BC1" w:rsidRDefault="00823BC1" w:rsidP="00132EA6">
            <w:pPr>
              <w:ind w:left="39"/>
              <w:rPr>
                <w:rFonts w:asciiTheme="minorHAnsi" w:hAnsiTheme="minorHAnsi" w:cstheme="minorHAnsi"/>
                <w:sz w:val="20"/>
                <w:szCs w:val="20"/>
              </w:rPr>
            </w:pPr>
          </w:p>
          <w:p w14:paraId="504B070B" w14:textId="77777777" w:rsidR="00823BC1" w:rsidRDefault="00823BC1" w:rsidP="00132EA6">
            <w:pPr>
              <w:ind w:left="39"/>
              <w:rPr>
                <w:rFonts w:asciiTheme="minorHAnsi" w:hAnsiTheme="minorHAnsi" w:cstheme="minorHAnsi"/>
                <w:sz w:val="20"/>
                <w:szCs w:val="20"/>
              </w:rPr>
            </w:pPr>
          </w:p>
          <w:p w14:paraId="162C68DA" w14:textId="77777777" w:rsidR="00823BC1" w:rsidRDefault="00823BC1" w:rsidP="00132EA6">
            <w:pPr>
              <w:ind w:left="39"/>
              <w:rPr>
                <w:rFonts w:asciiTheme="minorHAnsi" w:hAnsiTheme="minorHAnsi" w:cstheme="minorHAnsi"/>
                <w:sz w:val="20"/>
                <w:szCs w:val="20"/>
              </w:rPr>
            </w:pPr>
          </w:p>
          <w:p w14:paraId="55E5F759" w14:textId="77777777" w:rsidR="00823BC1" w:rsidRDefault="00823BC1" w:rsidP="00132EA6">
            <w:pPr>
              <w:ind w:left="39"/>
              <w:rPr>
                <w:rFonts w:asciiTheme="minorHAnsi" w:hAnsiTheme="minorHAnsi" w:cstheme="minorHAnsi"/>
                <w:sz w:val="20"/>
                <w:szCs w:val="20"/>
              </w:rPr>
            </w:pPr>
          </w:p>
          <w:p w14:paraId="2080734F" w14:textId="77777777" w:rsidR="00823BC1" w:rsidRDefault="00823BC1" w:rsidP="00132EA6">
            <w:pPr>
              <w:ind w:left="39"/>
              <w:rPr>
                <w:rFonts w:asciiTheme="minorHAnsi" w:hAnsiTheme="minorHAnsi" w:cstheme="minorHAnsi"/>
                <w:sz w:val="20"/>
                <w:szCs w:val="20"/>
              </w:rPr>
            </w:pPr>
          </w:p>
          <w:p w14:paraId="4575BABD" w14:textId="77777777" w:rsidR="00823BC1" w:rsidRDefault="00823BC1" w:rsidP="00132EA6">
            <w:pPr>
              <w:ind w:left="39"/>
              <w:rPr>
                <w:rFonts w:asciiTheme="minorHAnsi" w:hAnsiTheme="minorHAnsi" w:cstheme="minorHAnsi"/>
                <w:sz w:val="20"/>
                <w:szCs w:val="20"/>
              </w:rPr>
            </w:pPr>
          </w:p>
          <w:p w14:paraId="545900D5" w14:textId="77777777" w:rsidR="00823BC1" w:rsidRDefault="00823BC1" w:rsidP="00132EA6">
            <w:pPr>
              <w:ind w:left="39"/>
              <w:rPr>
                <w:rFonts w:asciiTheme="minorHAnsi" w:hAnsiTheme="minorHAnsi" w:cstheme="minorHAnsi"/>
                <w:sz w:val="20"/>
                <w:szCs w:val="20"/>
              </w:rPr>
            </w:pPr>
          </w:p>
          <w:p w14:paraId="134A21CB" w14:textId="77777777" w:rsidR="00823BC1" w:rsidRDefault="00823BC1" w:rsidP="00132EA6">
            <w:pPr>
              <w:ind w:left="39"/>
              <w:rPr>
                <w:rFonts w:asciiTheme="minorHAnsi" w:hAnsiTheme="minorHAnsi" w:cstheme="minorHAnsi"/>
                <w:sz w:val="20"/>
                <w:szCs w:val="20"/>
              </w:rPr>
            </w:pPr>
          </w:p>
          <w:p w14:paraId="270B751B" w14:textId="77777777" w:rsidR="00823BC1" w:rsidRDefault="00823BC1" w:rsidP="00132EA6">
            <w:pPr>
              <w:ind w:left="39"/>
              <w:rPr>
                <w:rFonts w:asciiTheme="minorHAnsi" w:hAnsiTheme="minorHAnsi" w:cstheme="minorHAnsi"/>
                <w:sz w:val="20"/>
                <w:szCs w:val="20"/>
              </w:rPr>
            </w:pPr>
          </w:p>
          <w:p w14:paraId="764A489A" w14:textId="77777777" w:rsidR="00823BC1" w:rsidRDefault="00823BC1" w:rsidP="00132EA6">
            <w:pPr>
              <w:ind w:left="39"/>
              <w:rPr>
                <w:rFonts w:asciiTheme="minorHAnsi" w:hAnsiTheme="minorHAnsi" w:cstheme="minorHAnsi"/>
                <w:sz w:val="20"/>
                <w:szCs w:val="20"/>
              </w:rPr>
            </w:pPr>
          </w:p>
          <w:p w14:paraId="10AFDB02" w14:textId="77777777" w:rsidR="00823BC1" w:rsidRDefault="00823BC1" w:rsidP="00132EA6">
            <w:pPr>
              <w:ind w:left="39"/>
              <w:rPr>
                <w:rFonts w:asciiTheme="minorHAnsi" w:hAnsiTheme="minorHAnsi" w:cstheme="minorHAnsi"/>
                <w:sz w:val="20"/>
                <w:szCs w:val="20"/>
              </w:rPr>
            </w:pPr>
          </w:p>
          <w:p w14:paraId="11913C88" w14:textId="77777777" w:rsidR="00823BC1" w:rsidRDefault="00823BC1" w:rsidP="00132EA6">
            <w:pPr>
              <w:ind w:left="39"/>
              <w:rPr>
                <w:rFonts w:asciiTheme="minorHAnsi" w:hAnsiTheme="minorHAnsi" w:cstheme="minorHAnsi"/>
                <w:sz w:val="20"/>
                <w:szCs w:val="20"/>
              </w:rPr>
            </w:pPr>
          </w:p>
          <w:p w14:paraId="04D6A0A7" w14:textId="77777777" w:rsidR="00823BC1" w:rsidRDefault="00823BC1" w:rsidP="00132EA6">
            <w:pPr>
              <w:ind w:left="39"/>
              <w:rPr>
                <w:rFonts w:asciiTheme="minorHAnsi" w:hAnsiTheme="minorHAnsi" w:cstheme="minorHAnsi"/>
                <w:sz w:val="20"/>
                <w:szCs w:val="20"/>
              </w:rPr>
            </w:pPr>
          </w:p>
          <w:p w14:paraId="6E5A9538" w14:textId="77777777" w:rsidR="00823BC1" w:rsidRDefault="00823BC1" w:rsidP="00132EA6">
            <w:pPr>
              <w:ind w:left="39"/>
              <w:rPr>
                <w:rFonts w:asciiTheme="minorHAnsi" w:hAnsiTheme="minorHAnsi" w:cstheme="minorHAnsi"/>
                <w:sz w:val="20"/>
                <w:szCs w:val="20"/>
              </w:rPr>
            </w:pPr>
          </w:p>
          <w:p w14:paraId="6D17BFFF" w14:textId="77777777" w:rsidR="00823BC1" w:rsidRDefault="00823BC1" w:rsidP="00132EA6">
            <w:pPr>
              <w:ind w:left="39"/>
              <w:rPr>
                <w:rFonts w:asciiTheme="minorHAnsi" w:hAnsiTheme="minorHAnsi" w:cstheme="minorHAnsi"/>
                <w:sz w:val="20"/>
                <w:szCs w:val="20"/>
              </w:rPr>
            </w:pPr>
          </w:p>
          <w:p w14:paraId="555DC0AE" w14:textId="77777777" w:rsidR="00823BC1" w:rsidRDefault="00823BC1" w:rsidP="00132EA6">
            <w:pPr>
              <w:ind w:left="39"/>
              <w:rPr>
                <w:rFonts w:asciiTheme="minorHAnsi" w:hAnsiTheme="minorHAnsi" w:cstheme="minorHAnsi"/>
                <w:sz w:val="20"/>
                <w:szCs w:val="20"/>
              </w:rPr>
            </w:pPr>
          </w:p>
          <w:p w14:paraId="533F0D00" w14:textId="77777777" w:rsidR="00823BC1" w:rsidRDefault="00823BC1" w:rsidP="00132EA6">
            <w:pPr>
              <w:ind w:left="39"/>
              <w:rPr>
                <w:rFonts w:asciiTheme="minorHAnsi" w:hAnsiTheme="minorHAnsi" w:cstheme="minorHAnsi"/>
                <w:sz w:val="20"/>
                <w:szCs w:val="20"/>
              </w:rPr>
            </w:pPr>
          </w:p>
          <w:p w14:paraId="011B5445" w14:textId="77777777" w:rsidR="00823BC1" w:rsidRDefault="00823BC1" w:rsidP="00132EA6">
            <w:pPr>
              <w:ind w:left="39"/>
              <w:rPr>
                <w:rFonts w:asciiTheme="minorHAnsi" w:hAnsiTheme="minorHAnsi" w:cstheme="minorHAnsi"/>
                <w:sz w:val="20"/>
                <w:szCs w:val="20"/>
              </w:rPr>
            </w:pPr>
          </w:p>
          <w:p w14:paraId="39890B5B" w14:textId="77777777" w:rsidR="00823BC1" w:rsidRDefault="00823BC1" w:rsidP="00132EA6">
            <w:pPr>
              <w:ind w:left="39"/>
              <w:rPr>
                <w:rFonts w:asciiTheme="minorHAnsi" w:hAnsiTheme="minorHAnsi" w:cstheme="minorHAnsi"/>
                <w:sz w:val="20"/>
                <w:szCs w:val="20"/>
              </w:rPr>
            </w:pPr>
          </w:p>
          <w:p w14:paraId="11773DA7" w14:textId="77777777" w:rsidR="00823BC1" w:rsidRDefault="00823BC1" w:rsidP="00132EA6">
            <w:pPr>
              <w:ind w:left="39"/>
              <w:rPr>
                <w:rFonts w:asciiTheme="minorHAnsi" w:hAnsiTheme="minorHAnsi" w:cstheme="minorHAnsi"/>
                <w:sz w:val="20"/>
                <w:szCs w:val="20"/>
              </w:rPr>
            </w:pPr>
          </w:p>
          <w:p w14:paraId="64ABBE8B" w14:textId="77777777" w:rsidR="00823BC1" w:rsidRDefault="00823BC1" w:rsidP="00132EA6">
            <w:pPr>
              <w:ind w:left="39"/>
              <w:rPr>
                <w:rFonts w:asciiTheme="minorHAnsi" w:hAnsiTheme="minorHAnsi" w:cstheme="minorHAnsi"/>
                <w:sz w:val="20"/>
                <w:szCs w:val="20"/>
              </w:rPr>
            </w:pPr>
          </w:p>
          <w:p w14:paraId="331601BE" w14:textId="77777777" w:rsidR="00823BC1" w:rsidRDefault="00823BC1" w:rsidP="00132EA6">
            <w:pPr>
              <w:ind w:left="39"/>
              <w:rPr>
                <w:rFonts w:asciiTheme="minorHAnsi" w:hAnsiTheme="minorHAnsi" w:cstheme="minorHAnsi"/>
                <w:sz w:val="20"/>
                <w:szCs w:val="20"/>
              </w:rPr>
            </w:pPr>
          </w:p>
          <w:p w14:paraId="15472B18" w14:textId="77777777" w:rsidR="00823BC1" w:rsidRDefault="00823BC1" w:rsidP="00132EA6">
            <w:pPr>
              <w:ind w:left="39"/>
              <w:rPr>
                <w:rFonts w:asciiTheme="minorHAnsi" w:hAnsiTheme="minorHAnsi" w:cstheme="minorHAnsi"/>
                <w:sz w:val="20"/>
                <w:szCs w:val="20"/>
              </w:rPr>
            </w:pPr>
          </w:p>
          <w:p w14:paraId="1FD85CF2" w14:textId="77777777" w:rsidR="00823BC1" w:rsidRDefault="00823BC1" w:rsidP="00132EA6">
            <w:pPr>
              <w:ind w:left="39"/>
              <w:rPr>
                <w:rFonts w:asciiTheme="minorHAnsi" w:hAnsiTheme="minorHAnsi" w:cstheme="minorHAnsi"/>
                <w:sz w:val="20"/>
                <w:szCs w:val="20"/>
              </w:rPr>
            </w:pPr>
          </w:p>
          <w:p w14:paraId="148D0BCB" w14:textId="77777777" w:rsidR="00823BC1" w:rsidRDefault="00823BC1" w:rsidP="00132EA6">
            <w:pPr>
              <w:ind w:left="39"/>
              <w:rPr>
                <w:rFonts w:asciiTheme="minorHAnsi" w:hAnsiTheme="minorHAnsi" w:cstheme="minorHAnsi"/>
                <w:sz w:val="20"/>
                <w:szCs w:val="20"/>
              </w:rPr>
            </w:pPr>
          </w:p>
          <w:p w14:paraId="01890D74" w14:textId="77777777" w:rsidR="00823BC1" w:rsidRDefault="00823BC1" w:rsidP="00132EA6">
            <w:pPr>
              <w:ind w:left="39"/>
              <w:rPr>
                <w:rFonts w:asciiTheme="minorHAnsi" w:hAnsiTheme="minorHAnsi" w:cstheme="minorHAnsi"/>
                <w:sz w:val="20"/>
                <w:szCs w:val="20"/>
              </w:rPr>
            </w:pPr>
          </w:p>
          <w:p w14:paraId="79CAE3EE" w14:textId="77777777" w:rsidR="00823BC1" w:rsidRDefault="00823BC1" w:rsidP="00132EA6">
            <w:pPr>
              <w:ind w:left="39"/>
              <w:rPr>
                <w:rFonts w:asciiTheme="minorHAnsi" w:hAnsiTheme="minorHAnsi" w:cstheme="minorHAnsi"/>
                <w:sz w:val="20"/>
                <w:szCs w:val="20"/>
              </w:rPr>
            </w:pPr>
          </w:p>
          <w:p w14:paraId="338F5DDE" w14:textId="77777777" w:rsidR="00823BC1" w:rsidRDefault="00823BC1" w:rsidP="00132EA6">
            <w:pPr>
              <w:ind w:left="39"/>
              <w:rPr>
                <w:rFonts w:asciiTheme="minorHAnsi" w:hAnsiTheme="minorHAnsi" w:cstheme="minorHAnsi"/>
                <w:sz w:val="20"/>
                <w:szCs w:val="20"/>
              </w:rPr>
            </w:pPr>
          </w:p>
          <w:p w14:paraId="0AFB9E58" w14:textId="77777777" w:rsidR="00823BC1" w:rsidRDefault="00823BC1" w:rsidP="00132EA6">
            <w:pPr>
              <w:ind w:left="39"/>
              <w:rPr>
                <w:rFonts w:asciiTheme="minorHAnsi" w:hAnsiTheme="minorHAnsi" w:cstheme="minorHAnsi"/>
                <w:sz w:val="20"/>
                <w:szCs w:val="20"/>
              </w:rPr>
            </w:pPr>
          </w:p>
          <w:p w14:paraId="6AAB895E" w14:textId="77777777" w:rsidR="00823BC1" w:rsidRDefault="00823BC1" w:rsidP="00132EA6">
            <w:pPr>
              <w:ind w:left="39"/>
              <w:rPr>
                <w:rFonts w:asciiTheme="minorHAnsi" w:hAnsiTheme="minorHAnsi" w:cstheme="minorHAnsi"/>
                <w:sz w:val="20"/>
                <w:szCs w:val="20"/>
              </w:rPr>
            </w:pPr>
          </w:p>
          <w:p w14:paraId="16A89A58" w14:textId="77777777" w:rsidR="00823BC1" w:rsidRDefault="00823BC1" w:rsidP="00132EA6">
            <w:pPr>
              <w:ind w:left="39"/>
              <w:rPr>
                <w:rFonts w:asciiTheme="minorHAnsi" w:hAnsiTheme="minorHAnsi" w:cstheme="minorHAnsi"/>
                <w:sz w:val="20"/>
                <w:szCs w:val="20"/>
              </w:rPr>
            </w:pPr>
          </w:p>
          <w:p w14:paraId="5B3AD415" w14:textId="77777777" w:rsidR="00823BC1" w:rsidRDefault="00823BC1" w:rsidP="00132EA6">
            <w:pPr>
              <w:ind w:left="39"/>
              <w:rPr>
                <w:rFonts w:asciiTheme="minorHAnsi" w:hAnsiTheme="minorHAnsi" w:cstheme="minorHAnsi"/>
                <w:sz w:val="20"/>
                <w:szCs w:val="20"/>
              </w:rPr>
            </w:pPr>
          </w:p>
          <w:p w14:paraId="38A65037" w14:textId="77777777" w:rsidR="00823BC1" w:rsidRDefault="00823BC1" w:rsidP="00132EA6">
            <w:pPr>
              <w:ind w:left="39"/>
              <w:rPr>
                <w:rFonts w:asciiTheme="minorHAnsi" w:hAnsiTheme="minorHAnsi" w:cstheme="minorHAnsi"/>
                <w:sz w:val="20"/>
                <w:szCs w:val="20"/>
              </w:rPr>
            </w:pPr>
          </w:p>
          <w:p w14:paraId="332F6DCF" w14:textId="77777777" w:rsidR="00823BC1" w:rsidRDefault="00823BC1" w:rsidP="00132EA6">
            <w:pPr>
              <w:ind w:left="39"/>
              <w:rPr>
                <w:rFonts w:asciiTheme="minorHAnsi" w:hAnsiTheme="minorHAnsi" w:cstheme="minorHAnsi"/>
                <w:sz w:val="20"/>
                <w:szCs w:val="20"/>
              </w:rPr>
            </w:pPr>
          </w:p>
          <w:p w14:paraId="08EC16D6" w14:textId="77777777" w:rsidR="00823BC1" w:rsidRDefault="00823BC1" w:rsidP="00132EA6">
            <w:pPr>
              <w:ind w:left="39"/>
              <w:rPr>
                <w:rFonts w:asciiTheme="minorHAnsi" w:hAnsiTheme="minorHAnsi" w:cstheme="minorHAnsi"/>
                <w:sz w:val="20"/>
                <w:szCs w:val="20"/>
              </w:rPr>
            </w:pPr>
          </w:p>
          <w:p w14:paraId="6CC2F392" w14:textId="77777777" w:rsidR="00823BC1" w:rsidRDefault="00823BC1" w:rsidP="00132EA6">
            <w:pPr>
              <w:ind w:left="39"/>
              <w:rPr>
                <w:rFonts w:asciiTheme="minorHAnsi" w:hAnsiTheme="minorHAnsi" w:cstheme="minorHAnsi"/>
                <w:sz w:val="20"/>
                <w:szCs w:val="20"/>
              </w:rPr>
            </w:pPr>
          </w:p>
          <w:p w14:paraId="68F85E64" w14:textId="77777777" w:rsidR="00823BC1" w:rsidRDefault="00823BC1" w:rsidP="00132EA6">
            <w:pPr>
              <w:ind w:left="39"/>
              <w:rPr>
                <w:rFonts w:asciiTheme="minorHAnsi" w:hAnsiTheme="minorHAnsi" w:cstheme="minorHAnsi"/>
                <w:sz w:val="20"/>
                <w:szCs w:val="20"/>
              </w:rPr>
            </w:pPr>
          </w:p>
          <w:p w14:paraId="6FED514D" w14:textId="77777777" w:rsidR="00823BC1" w:rsidRDefault="00823BC1" w:rsidP="00132EA6">
            <w:pPr>
              <w:ind w:left="39"/>
              <w:rPr>
                <w:rFonts w:asciiTheme="minorHAnsi" w:hAnsiTheme="minorHAnsi" w:cstheme="minorHAnsi"/>
                <w:sz w:val="20"/>
                <w:szCs w:val="20"/>
              </w:rPr>
            </w:pPr>
          </w:p>
          <w:p w14:paraId="009133D0" w14:textId="77777777" w:rsidR="00823BC1" w:rsidRDefault="00823BC1" w:rsidP="00132EA6">
            <w:pPr>
              <w:ind w:left="39"/>
              <w:rPr>
                <w:rFonts w:asciiTheme="minorHAnsi" w:hAnsiTheme="minorHAnsi" w:cstheme="minorHAnsi"/>
                <w:sz w:val="20"/>
                <w:szCs w:val="20"/>
              </w:rPr>
            </w:pPr>
          </w:p>
          <w:p w14:paraId="44EF4788" w14:textId="77777777" w:rsidR="00823BC1" w:rsidRDefault="00823BC1" w:rsidP="00132EA6">
            <w:pPr>
              <w:ind w:left="39"/>
              <w:rPr>
                <w:rFonts w:asciiTheme="minorHAnsi" w:hAnsiTheme="minorHAnsi" w:cstheme="minorHAnsi"/>
                <w:sz w:val="20"/>
                <w:szCs w:val="20"/>
              </w:rPr>
            </w:pPr>
          </w:p>
          <w:p w14:paraId="45E88181" w14:textId="77777777" w:rsidR="00823BC1" w:rsidRDefault="00823BC1" w:rsidP="00132EA6">
            <w:pPr>
              <w:ind w:left="39"/>
              <w:rPr>
                <w:rFonts w:asciiTheme="minorHAnsi" w:hAnsiTheme="minorHAnsi" w:cstheme="minorHAnsi"/>
                <w:sz w:val="20"/>
                <w:szCs w:val="20"/>
              </w:rPr>
            </w:pPr>
          </w:p>
          <w:p w14:paraId="12758B55" w14:textId="77777777" w:rsidR="00823BC1" w:rsidRDefault="00823BC1" w:rsidP="00132EA6">
            <w:pPr>
              <w:ind w:left="39"/>
              <w:rPr>
                <w:rFonts w:asciiTheme="minorHAnsi" w:hAnsiTheme="minorHAnsi" w:cstheme="minorHAnsi"/>
                <w:sz w:val="20"/>
                <w:szCs w:val="20"/>
              </w:rPr>
            </w:pPr>
          </w:p>
          <w:p w14:paraId="0DFB9F57" w14:textId="77777777" w:rsidR="00823BC1" w:rsidRDefault="00823BC1" w:rsidP="00132EA6">
            <w:pPr>
              <w:ind w:left="39"/>
              <w:rPr>
                <w:rFonts w:asciiTheme="minorHAnsi" w:hAnsiTheme="minorHAnsi" w:cstheme="minorHAnsi"/>
                <w:sz w:val="20"/>
                <w:szCs w:val="20"/>
              </w:rPr>
            </w:pPr>
          </w:p>
          <w:p w14:paraId="259EAA90" w14:textId="77777777" w:rsidR="00823BC1" w:rsidRDefault="00823BC1" w:rsidP="00132EA6">
            <w:pPr>
              <w:ind w:left="39"/>
              <w:rPr>
                <w:rFonts w:asciiTheme="minorHAnsi" w:hAnsiTheme="minorHAnsi" w:cstheme="minorHAnsi"/>
                <w:sz w:val="20"/>
                <w:szCs w:val="20"/>
              </w:rPr>
            </w:pPr>
          </w:p>
          <w:p w14:paraId="73E4B69C" w14:textId="77777777" w:rsidR="00823BC1" w:rsidRDefault="00823BC1" w:rsidP="00132EA6">
            <w:pPr>
              <w:ind w:left="39"/>
              <w:rPr>
                <w:rFonts w:asciiTheme="minorHAnsi" w:hAnsiTheme="minorHAnsi" w:cstheme="minorHAnsi"/>
                <w:sz w:val="20"/>
                <w:szCs w:val="20"/>
              </w:rPr>
            </w:pPr>
          </w:p>
          <w:p w14:paraId="562C9D8D" w14:textId="77777777" w:rsidR="00823BC1" w:rsidRDefault="00823BC1" w:rsidP="00132EA6">
            <w:pPr>
              <w:ind w:left="39"/>
              <w:rPr>
                <w:rFonts w:asciiTheme="minorHAnsi" w:hAnsiTheme="minorHAnsi" w:cstheme="minorHAnsi"/>
                <w:sz w:val="20"/>
                <w:szCs w:val="20"/>
              </w:rPr>
            </w:pPr>
          </w:p>
          <w:p w14:paraId="11F5BE4F" w14:textId="77777777" w:rsidR="00823BC1" w:rsidRDefault="00823BC1" w:rsidP="00132EA6">
            <w:pPr>
              <w:ind w:left="39"/>
              <w:rPr>
                <w:rFonts w:asciiTheme="minorHAnsi" w:hAnsiTheme="minorHAnsi" w:cstheme="minorHAnsi"/>
                <w:sz w:val="20"/>
                <w:szCs w:val="20"/>
              </w:rPr>
            </w:pPr>
          </w:p>
          <w:p w14:paraId="5914C195" w14:textId="77777777" w:rsidR="00823BC1" w:rsidRDefault="00823BC1" w:rsidP="00132EA6">
            <w:pPr>
              <w:ind w:left="39"/>
              <w:rPr>
                <w:rFonts w:asciiTheme="minorHAnsi" w:hAnsiTheme="minorHAnsi" w:cstheme="minorHAnsi"/>
                <w:sz w:val="20"/>
                <w:szCs w:val="20"/>
              </w:rPr>
            </w:pPr>
          </w:p>
          <w:p w14:paraId="230E1101" w14:textId="77777777" w:rsidR="00823BC1" w:rsidRDefault="00823BC1" w:rsidP="00132EA6">
            <w:pPr>
              <w:ind w:left="39"/>
              <w:rPr>
                <w:rFonts w:asciiTheme="minorHAnsi" w:hAnsiTheme="minorHAnsi" w:cstheme="minorHAnsi"/>
                <w:sz w:val="20"/>
                <w:szCs w:val="20"/>
              </w:rPr>
            </w:pPr>
          </w:p>
          <w:p w14:paraId="68CE333E" w14:textId="25C19EFE" w:rsidR="00132EA6" w:rsidRPr="00035E87" w:rsidRDefault="00823BC1" w:rsidP="00DA45E8">
            <w:pPr>
              <w:jc w:val="both"/>
              <w:rPr>
                <w:rFonts w:asciiTheme="minorHAnsi" w:hAnsiTheme="minorHAnsi" w:cstheme="minorHAnsi"/>
                <w:sz w:val="20"/>
                <w:szCs w:val="20"/>
              </w:rPr>
            </w:pPr>
            <w:r>
              <w:rPr>
                <w:rFonts w:asciiTheme="minorHAnsi" w:hAnsiTheme="minorHAnsi" w:cstheme="minorHAnsi"/>
                <w:sz w:val="20"/>
                <w:szCs w:val="20"/>
              </w:rPr>
              <w:t>Broj distribucijskih čvorova (</w:t>
            </w:r>
            <w:proofErr w:type="spellStart"/>
            <w:r>
              <w:rPr>
                <w:rFonts w:asciiTheme="minorHAnsi" w:hAnsiTheme="minorHAnsi" w:cstheme="minorHAnsi"/>
                <w:sz w:val="20"/>
                <w:szCs w:val="20"/>
              </w:rPr>
              <w:t>DN</w:t>
            </w:r>
            <w:proofErr w:type="spellEnd"/>
            <w:r>
              <w:rPr>
                <w:rFonts w:asciiTheme="minorHAnsi" w:hAnsiTheme="minorHAnsi" w:cstheme="minorHAnsi"/>
                <w:sz w:val="20"/>
                <w:szCs w:val="20"/>
              </w:rPr>
              <w:t>) u modelu ugrađen je na temelju dostavljenih podatka od HT-a. Naime, v</w:t>
            </w:r>
            <w:r w:rsidRPr="00823BC1">
              <w:rPr>
                <w:rFonts w:asciiTheme="minorHAnsi" w:hAnsiTheme="minorHAnsi" w:cstheme="minorHAnsi"/>
                <w:sz w:val="20"/>
                <w:szCs w:val="20"/>
              </w:rPr>
              <w:t>eć</w:t>
            </w:r>
            <w:r w:rsidR="00361156">
              <w:rPr>
                <w:rFonts w:asciiTheme="minorHAnsi" w:hAnsiTheme="minorHAnsi" w:cstheme="minorHAnsi"/>
                <w:sz w:val="20"/>
                <w:szCs w:val="20"/>
              </w:rPr>
              <w:t>ina izgra</w:t>
            </w:r>
            <w:r w:rsidR="00DA45E8">
              <w:rPr>
                <w:rFonts w:asciiTheme="minorHAnsi" w:hAnsiTheme="minorHAnsi" w:cstheme="minorHAnsi"/>
                <w:sz w:val="20"/>
                <w:szCs w:val="20"/>
              </w:rPr>
              <w:t>đene</w:t>
            </w:r>
            <w:r w:rsidR="00361156">
              <w:rPr>
                <w:rFonts w:asciiTheme="minorHAnsi" w:hAnsiTheme="minorHAnsi" w:cstheme="minorHAnsi"/>
                <w:sz w:val="20"/>
                <w:szCs w:val="20"/>
              </w:rPr>
              <w:t xml:space="preserve"> optičke</w:t>
            </w:r>
            <w:r w:rsidRPr="00823BC1">
              <w:rPr>
                <w:rFonts w:asciiTheme="minorHAnsi" w:hAnsiTheme="minorHAnsi" w:cstheme="minorHAnsi"/>
                <w:sz w:val="20"/>
                <w:szCs w:val="20"/>
              </w:rPr>
              <w:t xml:space="preserve"> m</w:t>
            </w:r>
            <w:r w:rsidR="00361156">
              <w:rPr>
                <w:rFonts w:asciiTheme="minorHAnsi" w:hAnsiTheme="minorHAnsi" w:cstheme="minorHAnsi"/>
                <w:sz w:val="20"/>
                <w:szCs w:val="20"/>
              </w:rPr>
              <w:t>reže HT-a</w:t>
            </w:r>
            <w:r w:rsidRPr="00823BC1">
              <w:rPr>
                <w:rFonts w:asciiTheme="minorHAnsi" w:hAnsiTheme="minorHAnsi" w:cstheme="minorHAnsi"/>
                <w:sz w:val="20"/>
                <w:szCs w:val="20"/>
              </w:rPr>
              <w:t xml:space="preserve"> u 2023. se odnosi na realizaciju projekata iz EU-</w:t>
            </w:r>
            <w:proofErr w:type="spellStart"/>
            <w:r w:rsidRPr="00823BC1">
              <w:rPr>
                <w:rFonts w:asciiTheme="minorHAnsi" w:hAnsiTheme="minorHAnsi" w:cstheme="minorHAnsi"/>
                <w:sz w:val="20"/>
                <w:szCs w:val="20"/>
              </w:rPr>
              <w:t>BB</w:t>
            </w:r>
            <w:proofErr w:type="spellEnd"/>
            <w:r w:rsidRPr="00823BC1">
              <w:rPr>
                <w:rFonts w:asciiTheme="minorHAnsi" w:hAnsiTheme="minorHAnsi" w:cstheme="minorHAnsi"/>
                <w:sz w:val="20"/>
                <w:szCs w:val="20"/>
              </w:rPr>
              <w:t xml:space="preserve"> programa.</w:t>
            </w:r>
            <w:r w:rsidR="00361156">
              <w:rPr>
                <w:rFonts w:asciiTheme="minorHAnsi" w:hAnsiTheme="minorHAnsi" w:cstheme="minorHAnsi"/>
                <w:sz w:val="20"/>
                <w:szCs w:val="20"/>
              </w:rPr>
              <w:t xml:space="preserve"> Obzirom da se radi</w:t>
            </w:r>
            <w:r w:rsidRPr="00823BC1">
              <w:rPr>
                <w:rFonts w:asciiTheme="minorHAnsi" w:hAnsiTheme="minorHAnsi" w:cstheme="minorHAnsi"/>
                <w:sz w:val="20"/>
                <w:szCs w:val="20"/>
              </w:rPr>
              <w:t xml:space="preserve"> o izrazito ruralnim područjima, uglavnom sa privatnim kućama</w:t>
            </w:r>
            <w:r w:rsidR="00DA45E8">
              <w:rPr>
                <w:rFonts w:asciiTheme="minorHAnsi" w:hAnsiTheme="minorHAnsi" w:cstheme="minorHAnsi"/>
                <w:sz w:val="20"/>
                <w:szCs w:val="20"/>
              </w:rPr>
              <w:t>,</w:t>
            </w:r>
            <w:r w:rsidRPr="00823BC1">
              <w:rPr>
                <w:rFonts w:asciiTheme="minorHAnsi" w:hAnsiTheme="minorHAnsi" w:cstheme="minorHAnsi"/>
                <w:sz w:val="20"/>
                <w:szCs w:val="20"/>
              </w:rPr>
              <w:t xml:space="preserve"> dimenzioniranje mrežnih elemenata</w:t>
            </w:r>
            <w:r w:rsidR="00361156">
              <w:rPr>
                <w:rFonts w:asciiTheme="minorHAnsi" w:hAnsiTheme="minorHAnsi" w:cstheme="minorHAnsi"/>
                <w:sz w:val="20"/>
                <w:szCs w:val="20"/>
              </w:rPr>
              <w:t xml:space="preserve"> u mreži HT-a</w:t>
            </w:r>
            <w:r w:rsidRPr="00823BC1">
              <w:rPr>
                <w:rFonts w:asciiTheme="minorHAnsi" w:hAnsiTheme="minorHAnsi" w:cstheme="minorHAnsi"/>
                <w:sz w:val="20"/>
                <w:szCs w:val="20"/>
              </w:rPr>
              <w:t xml:space="preserve"> </w:t>
            </w:r>
            <w:r w:rsidR="00DA45E8">
              <w:rPr>
                <w:rFonts w:asciiTheme="minorHAnsi" w:hAnsiTheme="minorHAnsi" w:cstheme="minorHAnsi"/>
                <w:sz w:val="20"/>
                <w:szCs w:val="20"/>
              </w:rPr>
              <w:t xml:space="preserve">je </w:t>
            </w:r>
            <w:r w:rsidRPr="00823BC1">
              <w:rPr>
                <w:rFonts w:asciiTheme="minorHAnsi" w:hAnsiTheme="minorHAnsi" w:cstheme="minorHAnsi"/>
                <w:sz w:val="20"/>
                <w:szCs w:val="20"/>
              </w:rPr>
              <w:t xml:space="preserve">značajno drugačije u odnosu na komercijalnu gradnju koja je bila uglavnom u urbanim područjima. </w:t>
            </w:r>
            <w:r w:rsidR="00361156">
              <w:rPr>
                <w:rFonts w:asciiTheme="minorHAnsi" w:hAnsiTheme="minorHAnsi" w:cstheme="minorHAnsi"/>
                <w:sz w:val="20"/>
                <w:szCs w:val="20"/>
              </w:rPr>
              <w:t>Naime, u navedenim ruralnim područjima</w:t>
            </w:r>
            <w:r w:rsidRPr="00823BC1">
              <w:rPr>
                <w:rFonts w:asciiTheme="minorHAnsi" w:hAnsiTheme="minorHAnsi" w:cstheme="minorHAnsi"/>
                <w:sz w:val="20"/>
                <w:szCs w:val="20"/>
              </w:rPr>
              <w:t xml:space="preserve"> dolazi do postavljanja velikog broja vanjskih kabineta i to s manjim kapacitetima. Tak</w:t>
            </w:r>
            <w:r w:rsidR="00361156">
              <w:rPr>
                <w:rFonts w:asciiTheme="minorHAnsi" w:hAnsiTheme="minorHAnsi" w:cstheme="minorHAnsi"/>
                <w:sz w:val="20"/>
                <w:szCs w:val="20"/>
              </w:rPr>
              <w:t>ođer</w:t>
            </w:r>
            <w:r w:rsidR="00DA45E8">
              <w:rPr>
                <w:rFonts w:asciiTheme="minorHAnsi" w:hAnsiTheme="minorHAnsi" w:cstheme="minorHAnsi"/>
                <w:sz w:val="20"/>
                <w:szCs w:val="20"/>
              </w:rPr>
              <w:t>,</w:t>
            </w:r>
            <w:r w:rsidR="00361156">
              <w:rPr>
                <w:rFonts w:asciiTheme="minorHAnsi" w:hAnsiTheme="minorHAnsi" w:cstheme="minorHAnsi"/>
                <w:sz w:val="20"/>
                <w:szCs w:val="20"/>
              </w:rPr>
              <w:t xml:space="preserve"> u navedenim područjima </w:t>
            </w:r>
            <w:r w:rsidRPr="00823BC1">
              <w:rPr>
                <w:rFonts w:asciiTheme="minorHAnsi" w:hAnsiTheme="minorHAnsi" w:cstheme="minorHAnsi"/>
                <w:sz w:val="20"/>
                <w:szCs w:val="20"/>
              </w:rPr>
              <w:t>značajno</w:t>
            </w:r>
            <w:r w:rsidR="00361156">
              <w:rPr>
                <w:rFonts w:asciiTheme="minorHAnsi" w:hAnsiTheme="minorHAnsi" w:cstheme="minorHAnsi"/>
                <w:sz w:val="20"/>
                <w:szCs w:val="20"/>
              </w:rPr>
              <w:t xml:space="preserve"> je</w:t>
            </w:r>
            <w:r w:rsidRPr="00823BC1">
              <w:rPr>
                <w:rFonts w:asciiTheme="minorHAnsi" w:hAnsiTheme="minorHAnsi" w:cstheme="minorHAnsi"/>
                <w:sz w:val="20"/>
                <w:szCs w:val="20"/>
              </w:rPr>
              <w:t xml:space="preserve"> manji broj objekata koji se karakteriziraju kao 'zgrade' usli</w:t>
            </w:r>
            <w:r w:rsidR="00361156">
              <w:rPr>
                <w:rFonts w:asciiTheme="minorHAnsi" w:hAnsiTheme="minorHAnsi" w:cstheme="minorHAnsi"/>
                <w:sz w:val="20"/>
                <w:szCs w:val="20"/>
              </w:rPr>
              <w:t>jed čega dolazi do manjeg</w:t>
            </w:r>
            <w:r w:rsidRPr="00823BC1">
              <w:rPr>
                <w:rFonts w:asciiTheme="minorHAnsi" w:hAnsiTheme="minorHAnsi" w:cstheme="minorHAnsi"/>
                <w:sz w:val="20"/>
                <w:szCs w:val="20"/>
              </w:rPr>
              <w:t xml:space="preserve"> porast</w:t>
            </w:r>
            <w:r w:rsidR="00361156">
              <w:rPr>
                <w:rFonts w:asciiTheme="minorHAnsi" w:hAnsiTheme="minorHAnsi" w:cstheme="minorHAnsi"/>
                <w:sz w:val="20"/>
                <w:szCs w:val="20"/>
              </w:rPr>
              <w:t>a</w:t>
            </w:r>
            <w:r w:rsidRPr="00823BC1">
              <w:rPr>
                <w:rFonts w:asciiTheme="minorHAnsi" w:hAnsiTheme="minorHAnsi" w:cstheme="minorHAnsi"/>
                <w:sz w:val="20"/>
                <w:szCs w:val="20"/>
              </w:rPr>
              <w:t xml:space="preserve"> broja vertikala u izgradnji, ali značajno</w:t>
            </w:r>
            <w:r w:rsidR="00361156">
              <w:rPr>
                <w:rFonts w:asciiTheme="minorHAnsi" w:hAnsiTheme="minorHAnsi" w:cstheme="minorHAnsi"/>
                <w:sz w:val="20"/>
                <w:szCs w:val="20"/>
              </w:rPr>
              <w:t xml:space="preserve"> većeg </w:t>
            </w:r>
            <w:r w:rsidRPr="00823BC1">
              <w:rPr>
                <w:rFonts w:asciiTheme="minorHAnsi" w:hAnsiTheme="minorHAnsi" w:cstheme="minorHAnsi"/>
                <w:sz w:val="20"/>
                <w:szCs w:val="20"/>
              </w:rPr>
              <w:t>broj</w:t>
            </w:r>
            <w:r w:rsidR="00361156">
              <w:rPr>
                <w:rFonts w:asciiTheme="minorHAnsi" w:hAnsiTheme="minorHAnsi" w:cstheme="minorHAnsi"/>
                <w:sz w:val="20"/>
                <w:szCs w:val="20"/>
              </w:rPr>
              <w:t>a</w:t>
            </w:r>
            <w:r w:rsidRPr="00823BC1">
              <w:rPr>
                <w:rFonts w:asciiTheme="minorHAnsi" w:hAnsiTheme="minorHAnsi" w:cstheme="minorHAnsi"/>
                <w:sz w:val="20"/>
                <w:szCs w:val="20"/>
              </w:rPr>
              <w:t xml:space="preserve"> </w:t>
            </w:r>
            <w:proofErr w:type="spellStart"/>
            <w:r w:rsidRPr="00823BC1">
              <w:rPr>
                <w:rFonts w:asciiTheme="minorHAnsi" w:hAnsiTheme="minorHAnsi" w:cstheme="minorHAnsi"/>
                <w:sz w:val="20"/>
                <w:szCs w:val="20"/>
              </w:rPr>
              <w:t>DP</w:t>
            </w:r>
            <w:proofErr w:type="spellEnd"/>
            <w:r w:rsidRPr="00823BC1">
              <w:rPr>
                <w:rFonts w:asciiTheme="minorHAnsi" w:hAnsiTheme="minorHAnsi" w:cstheme="minorHAnsi"/>
                <w:sz w:val="20"/>
                <w:szCs w:val="20"/>
              </w:rPr>
              <w:t>-ova u izgradnji (zbog velikog broja obiteljskih kuća).</w:t>
            </w:r>
          </w:p>
        </w:tc>
      </w:tr>
      <w:tr w:rsidR="00132EA6" w:rsidRPr="00CE310D" w14:paraId="3652EA53" w14:textId="77777777" w:rsidTr="00111D31">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CDF1C71" w14:textId="26680392" w:rsidR="00132EA6" w:rsidRPr="00CE310D" w:rsidRDefault="00132EA6" w:rsidP="00132EA6">
            <w:pPr>
              <w:rPr>
                <w:rFonts w:asciiTheme="minorHAnsi" w:hAnsiTheme="minorHAnsi" w:cstheme="minorHAnsi"/>
                <w:b/>
                <w:bCs/>
              </w:rPr>
            </w:pPr>
            <w:r w:rsidRPr="00CE310D">
              <w:rPr>
                <w:rFonts w:asciiTheme="minorHAnsi" w:hAnsiTheme="minorHAnsi" w:cstheme="minorHAnsi"/>
                <w:b/>
                <w:bCs/>
              </w:rPr>
              <w:t xml:space="preserve">Zaprimljeni komentari na pitanje 4: </w:t>
            </w:r>
            <w:r w:rsidRPr="00CE310D">
              <w:rPr>
                <w:rFonts w:asciiTheme="minorHAnsi" w:hAnsiTheme="minorHAnsi" w:cstheme="minorHAnsi"/>
              </w:rPr>
              <w:t>Koje je vaš stav o ažuriranim vrijednostima ne-mrežnih općih troškova?</w:t>
            </w:r>
            <w:r w:rsidRPr="00CE310D">
              <w:rPr>
                <w:rFonts w:asciiTheme="minorHAnsi" w:hAnsiTheme="minorHAnsi" w:cstheme="minorHAnsi"/>
                <w:b/>
                <w:bCs/>
              </w:rPr>
              <w:t xml:space="preserve"> </w:t>
            </w:r>
          </w:p>
        </w:tc>
      </w:tr>
      <w:tr w:rsidR="00132EA6" w:rsidRPr="00CE310D" w14:paraId="718936BA"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25F452BD" w14:textId="1C491561" w:rsidR="00132EA6" w:rsidRPr="00C14C99" w:rsidRDefault="00132EA6" w:rsidP="00132EA6">
            <w:pPr>
              <w:rPr>
                <w:rFonts w:asciiTheme="minorHAnsi" w:hAnsiTheme="minorHAnsi" w:cstheme="minorHAnsi"/>
                <w:sz w:val="20"/>
                <w:szCs w:val="20"/>
              </w:rPr>
            </w:pPr>
            <w:r w:rsidRPr="00C14C99">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916D54F" w14:textId="462BD7FB" w:rsidR="00132EA6" w:rsidRPr="00C14C99" w:rsidRDefault="00132EA6" w:rsidP="00132EA6">
            <w:pPr>
              <w:rPr>
                <w:rFonts w:asciiTheme="minorHAnsi" w:hAnsiTheme="minorHAnsi" w:cstheme="minorHAnsi"/>
                <w:sz w:val="20"/>
                <w:szCs w:val="20"/>
              </w:rPr>
            </w:pPr>
            <w:r w:rsidRPr="00C14C99">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AA5426E" w14:textId="0186376E" w:rsidR="00132EA6" w:rsidRPr="00C14C99" w:rsidRDefault="00132EA6" w:rsidP="00132EA6">
            <w:pPr>
              <w:ind w:left="-101"/>
              <w:jc w:val="both"/>
              <w:rPr>
                <w:rFonts w:asciiTheme="minorHAnsi" w:hAnsiTheme="minorHAnsi" w:cstheme="minorHAnsi"/>
                <w:sz w:val="20"/>
                <w:szCs w:val="20"/>
              </w:rPr>
            </w:pPr>
            <w:r w:rsidRPr="00C14C99">
              <w:rPr>
                <w:rFonts w:asciiTheme="minorHAnsi" w:hAnsiTheme="minorHAnsi" w:cstheme="minorHAnsi"/>
                <w:sz w:val="20"/>
                <w:szCs w:val="20"/>
              </w:rPr>
              <w:t>HT nema dodatnih komentara na ažuriranje vrijednosti ne-mrežnih općih troškova</w:t>
            </w:r>
          </w:p>
        </w:tc>
        <w:tc>
          <w:tcPr>
            <w:tcW w:w="1936" w:type="pct"/>
            <w:tcBorders>
              <w:top w:val="single" w:sz="6" w:space="0" w:color="CCCCCC"/>
              <w:left w:val="single" w:sz="6" w:space="0" w:color="CCCCCC"/>
              <w:bottom w:val="single" w:sz="6" w:space="0" w:color="CCCCCC"/>
              <w:right w:val="single" w:sz="6" w:space="0" w:color="CCCCCC"/>
            </w:tcBorders>
          </w:tcPr>
          <w:p w14:paraId="00F21C7A" w14:textId="77777777" w:rsidR="00132EA6" w:rsidRPr="00C14C99" w:rsidRDefault="00132EA6" w:rsidP="00132EA6">
            <w:pPr>
              <w:ind w:left="39"/>
              <w:rPr>
                <w:rFonts w:asciiTheme="minorHAnsi" w:hAnsiTheme="minorHAnsi" w:cstheme="minorHAnsi"/>
                <w:b/>
                <w:sz w:val="20"/>
                <w:szCs w:val="20"/>
              </w:rPr>
            </w:pPr>
          </w:p>
          <w:p w14:paraId="0FFB5590" w14:textId="03ED09C4" w:rsidR="00132EA6" w:rsidRPr="00C14C99" w:rsidRDefault="006302DA" w:rsidP="00132EA6">
            <w:pPr>
              <w:ind w:left="39"/>
              <w:rPr>
                <w:rFonts w:asciiTheme="minorHAnsi" w:hAnsiTheme="minorHAnsi" w:cstheme="minorHAnsi"/>
                <w:sz w:val="20"/>
                <w:szCs w:val="20"/>
              </w:rPr>
            </w:pPr>
            <w:r w:rsidRPr="00C14C99">
              <w:rPr>
                <w:rFonts w:asciiTheme="minorHAnsi" w:hAnsiTheme="minorHAnsi" w:cstheme="minorHAnsi"/>
                <w:sz w:val="20"/>
                <w:szCs w:val="20"/>
              </w:rPr>
              <w:t>HAKOM se zahvaljuje na komentaru.</w:t>
            </w:r>
          </w:p>
          <w:p w14:paraId="633B35BB" w14:textId="459F6BE7" w:rsidR="00132EA6" w:rsidRPr="00C14C99" w:rsidRDefault="00132EA6" w:rsidP="00132EA6">
            <w:pPr>
              <w:ind w:left="39"/>
              <w:rPr>
                <w:rFonts w:asciiTheme="minorHAnsi" w:hAnsiTheme="minorHAnsi" w:cstheme="minorHAnsi"/>
                <w:b/>
                <w:sz w:val="20"/>
                <w:szCs w:val="20"/>
              </w:rPr>
            </w:pPr>
          </w:p>
        </w:tc>
      </w:tr>
      <w:tr w:rsidR="00132EA6" w:rsidRPr="00862A5F" w14:paraId="162C32FF"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3111A3B8" w14:textId="6744BC07" w:rsidR="00132EA6" w:rsidRPr="00C14C99" w:rsidRDefault="00132EA6" w:rsidP="00132EA6">
            <w:pPr>
              <w:rPr>
                <w:rFonts w:asciiTheme="minorHAnsi" w:hAnsiTheme="minorHAnsi" w:cstheme="minorHAnsi"/>
                <w:sz w:val="20"/>
                <w:szCs w:val="20"/>
              </w:rPr>
            </w:pPr>
            <w:r w:rsidRPr="00C14C99">
              <w:rPr>
                <w:rFonts w:asciiTheme="minorHAnsi" w:hAnsiTheme="minorHAnsi" w:cstheme="minorHAnsi"/>
                <w:sz w:val="20"/>
                <w:szCs w:val="20"/>
              </w:rPr>
              <w:lastRenderedPageBreak/>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CC2A87B" w14:textId="18D5D6D8" w:rsidR="00132EA6" w:rsidRPr="00C14C99" w:rsidRDefault="00132EA6" w:rsidP="00132EA6">
            <w:pPr>
              <w:rPr>
                <w:rFonts w:asciiTheme="minorHAnsi" w:hAnsiTheme="minorHAnsi" w:cstheme="minorHAnsi"/>
                <w:sz w:val="20"/>
                <w:szCs w:val="20"/>
              </w:rPr>
            </w:pPr>
            <w:r w:rsidRPr="00C14C99">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2C639F9" w14:textId="401B6A6F" w:rsidR="00132EA6" w:rsidRPr="00862A5F" w:rsidRDefault="00132EA6" w:rsidP="00862A5F">
            <w:pPr>
              <w:ind w:left="-110"/>
              <w:jc w:val="both"/>
              <w:rPr>
                <w:rFonts w:asciiTheme="minorHAnsi" w:hAnsiTheme="minorHAnsi" w:cstheme="minorHAnsi"/>
                <w:sz w:val="20"/>
                <w:szCs w:val="20"/>
              </w:rPr>
            </w:pPr>
            <w:r w:rsidRPr="00C14C99">
              <w:rPr>
                <w:rFonts w:asciiTheme="minorHAnsi" w:hAnsiTheme="minorHAnsi" w:cstheme="minorHAnsi"/>
                <w:sz w:val="20"/>
                <w:szCs w:val="20"/>
              </w:rPr>
              <w:t xml:space="preserve">Kao i u prethodnoj verziji modela, A1 smatra kako su navedeni troškovi neopravdano visoki (oko 15% ukupno), ali kako je u trenutno dostavljenoj verziji modela ipak predviđen određeni manji pad predmetnih troškova, A1 svakako pozdravlja navedeno te poziva HAKOM da još jednom preispita navedene troškove te ih i dodatno snizi. Navedeno se posebno odnosi na specifične veleprodajne troškove za koje je potrebno osigurati da se isti ne nadoknađuju dvostruko, tj. kroz mjesečne naknade koje proizlaze iz ovog modela te kroz jedinične troškove koje HAKOM određuje u zasebnom postupku. </w:t>
            </w:r>
            <w:r w:rsidRPr="00862A5F">
              <w:rPr>
                <w:rFonts w:asciiTheme="minorHAnsi" w:hAnsiTheme="minorHAnsi" w:cstheme="minorHAnsi"/>
                <w:sz w:val="20"/>
                <w:szCs w:val="20"/>
              </w:rPr>
              <w:t>Naime, kako osim generalnih navoda da su u predmetne troškove uključene aktivnosti kod obrade veleprodajnih zahtjeva, zapravo nigdje nije posebno navedeno koje su točno aktivnosti i/ili sustavi uključeni u navedene specifične veleprodajne troškove pa je operatorima nemoguće utvrditi nadoknađuju li se određeni troškovi i kroz mjesečne i jednokratne naknade koje HT naplaćuje.</w:t>
            </w:r>
          </w:p>
        </w:tc>
        <w:tc>
          <w:tcPr>
            <w:tcW w:w="1936" w:type="pct"/>
            <w:tcBorders>
              <w:top w:val="single" w:sz="6" w:space="0" w:color="CCCCCC"/>
              <w:left w:val="single" w:sz="6" w:space="0" w:color="CCCCCC"/>
              <w:bottom w:val="single" w:sz="6" w:space="0" w:color="CCCCCC"/>
              <w:right w:val="single" w:sz="6" w:space="0" w:color="CCCCCC"/>
            </w:tcBorders>
          </w:tcPr>
          <w:p w14:paraId="039A78A5" w14:textId="5893FA6C" w:rsidR="00AF3658" w:rsidRDefault="00AF3658" w:rsidP="00C14C99">
            <w:pPr>
              <w:jc w:val="both"/>
              <w:rPr>
                <w:rFonts w:asciiTheme="minorHAnsi" w:hAnsiTheme="minorHAnsi" w:cstheme="minorHAnsi"/>
                <w:sz w:val="20"/>
                <w:szCs w:val="20"/>
              </w:rPr>
            </w:pPr>
            <w:r>
              <w:rPr>
                <w:rFonts w:asciiTheme="minorHAnsi" w:hAnsiTheme="minorHAnsi" w:cstheme="minorHAnsi"/>
                <w:sz w:val="20"/>
                <w:szCs w:val="20"/>
              </w:rPr>
              <w:t>Pre</w:t>
            </w:r>
            <w:r w:rsidR="00A839B2">
              <w:rPr>
                <w:rFonts w:asciiTheme="minorHAnsi" w:hAnsiTheme="minorHAnsi" w:cstheme="minorHAnsi"/>
                <w:sz w:val="20"/>
                <w:szCs w:val="20"/>
              </w:rPr>
              <w:t>tpostavke</w:t>
            </w:r>
            <w:r>
              <w:rPr>
                <w:rFonts w:asciiTheme="minorHAnsi" w:hAnsiTheme="minorHAnsi" w:cstheme="minorHAnsi"/>
                <w:sz w:val="20"/>
                <w:szCs w:val="20"/>
              </w:rPr>
              <w:t xml:space="preserve"> za izračun ne-mrežnih općih troškova određene su metodološkim načelima. Naime, HAKOM je kod izračuna novih vrijednosti ne-mrežnih općih troškova u modelu zadržao iste pretpostavke </w:t>
            </w:r>
            <w:r w:rsidR="00353E2B">
              <w:rPr>
                <w:rFonts w:asciiTheme="minorHAnsi" w:hAnsiTheme="minorHAnsi" w:cstheme="minorHAnsi"/>
                <w:sz w:val="20"/>
                <w:szCs w:val="20"/>
              </w:rPr>
              <w:t xml:space="preserve">kao </w:t>
            </w:r>
            <w:r>
              <w:rPr>
                <w:rFonts w:asciiTheme="minorHAnsi" w:hAnsiTheme="minorHAnsi" w:cstheme="minorHAnsi"/>
                <w:sz w:val="20"/>
                <w:szCs w:val="20"/>
              </w:rPr>
              <w:t>u inicijalnom modelu.</w:t>
            </w:r>
            <w:r w:rsidR="00353E2B">
              <w:rPr>
                <w:rFonts w:asciiTheme="minorHAnsi" w:hAnsiTheme="minorHAnsi" w:cstheme="minorHAnsi"/>
                <w:sz w:val="20"/>
                <w:szCs w:val="20"/>
              </w:rPr>
              <w:t xml:space="preserve"> Stoga</w:t>
            </w:r>
            <w:r w:rsidR="003B7CEE">
              <w:rPr>
                <w:rFonts w:asciiTheme="minorHAnsi" w:hAnsiTheme="minorHAnsi" w:cstheme="minorHAnsi"/>
                <w:sz w:val="20"/>
                <w:szCs w:val="20"/>
              </w:rPr>
              <w:t xml:space="preserve"> se</w:t>
            </w:r>
            <w:r w:rsidR="00353E2B">
              <w:rPr>
                <w:rFonts w:asciiTheme="minorHAnsi" w:hAnsiTheme="minorHAnsi" w:cstheme="minorHAnsi"/>
                <w:sz w:val="20"/>
                <w:szCs w:val="20"/>
              </w:rPr>
              <w:t xml:space="preserve"> HAKOM </w:t>
            </w:r>
            <w:r w:rsidR="004E76DB">
              <w:rPr>
                <w:rFonts w:asciiTheme="minorHAnsi" w:hAnsiTheme="minorHAnsi" w:cstheme="minorHAnsi"/>
                <w:sz w:val="20"/>
                <w:szCs w:val="20"/>
              </w:rPr>
              <w:t>ne slaže sa tvrdnjama operatora kako su navedeni troškovi neopravdano visoki</w:t>
            </w:r>
            <w:r w:rsidR="0073644A">
              <w:rPr>
                <w:rFonts w:asciiTheme="minorHAnsi" w:hAnsiTheme="minorHAnsi" w:cstheme="minorHAnsi"/>
                <w:sz w:val="20"/>
                <w:szCs w:val="20"/>
              </w:rPr>
              <w:t xml:space="preserve"> te kako nisu jasno određene aktivnosti koje su uključene u izračun navedenih troškova.</w:t>
            </w:r>
          </w:p>
          <w:p w14:paraId="768A8758" w14:textId="1BA6A3D4" w:rsidR="00AF3658" w:rsidRDefault="00AF3658" w:rsidP="00C14C99">
            <w:pPr>
              <w:jc w:val="both"/>
              <w:rPr>
                <w:rFonts w:asciiTheme="minorHAnsi" w:hAnsiTheme="minorHAnsi" w:cstheme="minorHAnsi"/>
                <w:sz w:val="20"/>
                <w:szCs w:val="20"/>
              </w:rPr>
            </w:pPr>
            <w:r>
              <w:rPr>
                <w:rFonts w:asciiTheme="minorHAnsi" w:hAnsiTheme="minorHAnsi" w:cstheme="minorHAnsi"/>
                <w:sz w:val="20"/>
                <w:szCs w:val="20"/>
              </w:rPr>
              <w:t xml:space="preserve"> </w:t>
            </w:r>
          </w:p>
          <w:p w14:paraId="29AABD48" w14:textId="3BBA5638" w:rsidR="00132EA6" w:rsidRPr="00862A5F" w:rsidRDefault="00132EA6" w:rsidP="00C14C99">
            <w:pPr>
              <w:jc w:val="both"/>
              <w:rPr>
                <w:rFonts w:asciiTheme="minorHAnsi" w:hAnsiTheme="minorHAnsi" w:cstheme="minorHAnsi"/>
                <w:b/>
                <w:sz w:val="20"/>
                <w:szCs w:val="20"/>
              </w:rPr>
            </w:pPr>
          </w:p>
        </w:tc>
      </w:tr>
      <w:tr w:rsidR="00132EA6" w:rsidRPr="00862A5F" w14:paraId="46AA99D3"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3F4093AC" w14:textId="3410478D" w:rsidR="00132EA6" w:rsidRPr="00862A5F" w:rsidRDefault="00132EA6" w:rsidP="00132EA6">
            <w:pPr>
              <w:rPr>
                <w:rFonts w:asciiTheme="minorHAnsi" w:hAnsiTheme="minorHAnsi" w:cstheme="minorHAnsi"/>
                <w:sz w:val="20"/>
                <w:szCs w:val="20"/>
              </w:rPr>
            </w:pPr>
            <w:r w:rsidRPr="00862A5F">
              <w:rPr>
                <w:rFonts w:asciiTheme="minorHAnsi" w:hAnsiTheme="minorHAnsi" w:cstheme="minorHAnsi"/>
                <w:sz w:val="20"/>
                <w:szCs w:val="20"/>
              </w:rPr>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2B6E0022" w14:textId="2B62F1A6" w:rsidR="00132EA6" w:rsidRPr="00862A5F" w:rsidRDefault="00132EA6" w:rsidP="00132EA6">
            <w:pPr>
              <w:rPr>
                <w:rFonts w:asciiTheme="minorHAnsi" w:hAnsiTheme="minorHAnsi" w:cstheme="minorHAnsi"/>
                <w:sz w:val="20"/>
                <w:szCs w:val="20"/>
              </w:rPr>
            </w:pPr>
            <w:proofErr w:type="spellStart"/>
            <w:r w:rsidRPr="00862A5F">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607D93E" w14:textId="70A261DD" w:rsidR="00132EA6" w:rsidRPr="00862A5F" w:rsidRDefault="00132EA6" w:rsidP="00132EA6">
            <w:pPr>
              <w:ind w:left="-110"/>
              <w:jc w:val="both"/>
              <w:rPr>
                <w:rFonts w:asciiTheme="minorHAnsi" w:hAnsiTheme="minorHAnsi" w:cstheme="minorHAnsi"/>
                <w:sz w:val="20"/>
                <w:szCs w:val="20"/>
              </w:rPr>
            </w:pPr>
            <w:r w:rsidRPr="00862A5F">
              <w:rPr>
                <w:rFonts w:asciiTheme="minorHAnsi" w:hAnsiTheme="minorHAnsi" w:cstheme="minorHAnsi"/>
                <w:sz w:val="20"/>
                <w:szCs w:val="20"/>
              </w:rPr>
              <w:t xml:space="preserve">U odnosu na ažurirane vrijednosti ne-mrežnih općih troškova, </w:t>
            </w:r>
            <w:proofErr w:type="spellStart"/>
            <w:r w:rsidRPr="00862A5F">
              <w:rPr>
                <w:rFonts w:asciiTheme="minorHAnsi" w:hAnsiTheme="minorHAnsi" w:cstheme="minorHAnsi"/>
                <w:sz w:val="20"/>
                <w:szCs w:val="20"/>
              </w:rPr>
              <w:t>Telemach</w:t>
            </w:r>
            <w:proofErr w:type="spellEnd"/>
            <w:r w:rsidRPr="00862A5F">
              <w:rPr>
                <w:rFonts w:asciiTheme="minorHAnsi" w:hAnsiTheme="minorHAnsi" w:cstheme="minorHAnsi"/>
                <w:sz w:val="20"/>
                <w:szCs w:val="20"/>
              </w:rPr>
              <w:t xml:space="preserve"> ističe kako podržava izvršeno manje smanjenje vrijednosti ne-mrežnih općih troškova u odnosu na iste troškove koje su primijenjene u trenutnom troškovnom modelu, i to osobito Općih i administrativnih troškova (</w:t>
            </w:r>
            <w:proofErr w:type="spellStart"/>
            <w:r w:rsidRPr="00862A5F">
              <w:rPr>
                <w:rFonts w:asciiTheme="minorHAnsi" w:hAnsiTheme="minorHAnsi" w:cstheme="minorHAnsi"/>
                <w:sz w:val="20"/>
                <w:szCs w:val="20"/>
              </w:rPr>
              <w:t>G&amp;A</w:t>
            </w:r>
            <w:proofErr w:type="spellEnd"/>
            <w:r w:rsidRPr="00862A5F">
              <w:rPr>
                <w:rFonts w:asciiTheme="minorHAnsi" w:hAnsiTheme="minorHAnsi" w:cstheme="minorHAnsi"/>
                <w:sz w:val="20"/>
                <w:szCs w:val="20"/>
              </w:rPr>
              <w:t xml:space="preserve"> sada 10,94%, prije 13%) te veleprodajnih specifičnih troškova.</w:t>
            </w:r>
          </w:p>
        </w:tc>
        <w:tc>
          <w:tcPr>
            <w:tcW w:w="1936" w:type="pct"/>
            <w:tcBorders>
              <w:top w:val="single" w:sz="6" w:space="0" w:color="CCCCCC"/>
              <w:left w:val="single" w:sz="6" w:space="0" w:color="CCCCCC"/>
              <w:bottom w:val="single" w:sz="6" w:space="0" w:color="CCCCCC"/>
              <w:right w:val="single" w:sz="6" w:space="0" w:color="CCCCCC"/>
            </w:tcBorders>
          </w:tcPr>
          <w:p w14:paraId="6625DE89" w14:textId="0AD16D53" w:rsidR="00132EA6" w:rsidRPr="00862A5F" w:rsidRDefault="00132EA6" w:rsidP="00132EA6">
            <w:pPr>
              <w:ind w:left="39"/>
              <w:rPr>
                <w:rFonts w:asciiTheme="minorHAnsi" w:hAnsiTheme="minorHAnsi" w:cstheme="minorHAnsi"/>
                <w:b/>
                <w:sz w:val="20"/>
                <w:szCs w:val="20"/>
              </w:rPr>
            </w:pPr>
          </w:p>
          <w:p w14:paraId="55D724C1" w14:textId="2DCD53E9" w:rsidR="00132EA6" w:rsidRPr="00035E87" w:rsidRDefault="00035E87" w:rsidP="00035E87">
            <w:pPr>
              <w:ind w:left="39"/>
              <w:jc w:val="both"/>
              <w:rPr>
                <w:rFonts w:asciiTheme="minorHAnsi" w:hAnsiTheme="minorHAnsi" w:cstheme="minorHAnsi"/>
                <w:sz w:val="20"/>
                <w:szCs w:val="20"/>
              </w:rPr>
            </w:pPr>
            <w:r w:rsidRPr="00035E87">
              <w:rPr>
                <w:rFonts w:asciiTheme="minorHAnsi" w:hAnsiTheme="minorHAnsi" w:cstheme="minorHAnsi"/>
                <w:sz w:val="20"/>
                <w:szCs w:val="20"/>
              </w:rPr>
              <w:t>Vidi odgovor na prethodni komentar</w:t>
            </w:r>
          </w:p>
          <w:p w14:paraId="39A9EB09" w14:textId="77777777" w:rsidR="00132EA6" w:rsidRPr="00862A5F" w:rsidRDefault="00132EA6" w:rsidP="00132EA6">
            <w:pPr>
              <w:ind w:left="39"/>
              <w:rPr>
                <w:rFonts w:asciiTheme="minorHAnsi" w:hAnsiTheme="minorHAnsi" w:cstheme="minorHAnsi"/>
                <w:b/>
                <w:sz w:val="20"/>
                <w:szCs w:val="20"/>
              </w:rPr>
            </w:pPr>
          </w:p>
        </w:tc>
      </w:tr>
      <w:tr w:rsidR="00132EA6" w:rsidRPr="00CE310D" w14:paraId="5BF22025"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EEF4336" w14:textId="7E9D3E87" w:rsidR="00132EA6" w:rsidRPr="00CE310D" w:rsidRDefault="00132EA6" w:rsidP="00132EA6">
            <w:pPr>
              <w:rPr>
                <w:rFonts w:asciiTheme="minorHAnsi" w:hAnsiTheme="minorHAnsi" w:cstheme="minorHAnsi"/>
                <w:b/>
                <w:bCs/>
              </w:rPr>
            </w:pPr>
            <w:r w:rsidRPr="00CE310D">
              <w:rPr>
                <w:rFonts w:asciiTheme="minorHAnsi" w:hAnsiTheme="minorHAnsi" w:cstheme="minorHAnsi"/>
                <w:b/>
                <w:bCs/>
              </w:rPr>
              <w:t xml:space="preserve">Zaprimljeni komentari na pitanje 5: </w:t>
            </w:r>
            <w:r w:rsidRPr="00CE310D">
              <w:rPr>
                <w:rFonts w:asciiTheme="minorHAnsi" w:hAnsiTheme="minorHAnsi" w:cstheme="minorHAnsi"/>
              </w:rPr>
              <w:t xml:space="preserve">Koje je vaše mišljenje o ostalim ažuriranim parametrima u </w:t>
            </w:r>
            <w:proofErr w:type="spellStart"/>
            <w:r w:rsidRPr="00CE310D">
              <w:rPr>
                <w:rFonts w:asciiTheme="minorHAnsi" w:hAnsiTheme="minorHAnsi" w:cstheme="minorHAnsi"/>
              </w:rPr>
              <w:t>BU-LRIC</w:t>
            </w:r>
            <w:proofErr w:type="spellEnd"/>
            <w:r w:rsidRPr="00CE310D">
              <w:rPr>
                <w:rFonts w:asciiTheme="minorHAnsi" w:hAnsiTheme="minorHAnsi" w:cstheme="minorHAnsi"/>
              </w:rPr>
              <w:t>+ troškovnom modelu?</w:t>
            </w:r>
            <w:r w:rsidRPr="00CE310D">
              <w:rPr>
                <w:rFonts w:asciiTheme="minorHAnsi" w:hAnsiTheme="minorHAnsi" w:cstheme="minorHAnsi"/>
                <w:b/>
                <w:bCs/>
              </w:rPr>
              <w:t xml:space="preserve"> </w:t>
            </w:r>
          </w:p>
        </w:tc>
      </w:tr>
      <w:tr w:rsidR="00132EA6" w:rsidRPr="00CE310D" w14:paraId="35612D96"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FCB9DE9" w14:textId="26555312"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175AF5E" w14:textId="31581797"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A2326B1"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b/>
                <w:sz w:val="20"/>
                <w:szCs w:val="20"/>
                <w:u w:val="single"/>
              </w:rPr>
              <w:t>Parametri u listu "</w:t>
            </w:r>
            <w:proofErr w:type="spellStart"/>
            <w:r w:rsidRPr="00CE310D">
              <w:rPr>
                <w:rFonts w:asciiTheme="minorHAnsi" w:hAnsiTheme="minorHAnsi" w:cstheme="minorHAnsi"/>
                <w:b/>
                <w:sz w:val="20"/>
                <w:szCs w:val="20"/>
                <w:u w:val="single"/>
              </w:rPr>
              <w:t>Resource</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lives</w:t>
            </w:r>
            <w:proofErr w:type="spellEnd"/>
            <w:r w:rsidRPr="00CE310D">
              <w:rPr>
                <w:rFonts w:asciiTheme="minorHAnsi" w:hAnsiTheme="minorHAnsi" w:cstheme="minorHAnsi"/>
                <w:b/>
                <w:sz w:val="20"/>
                <w:szCs w:val="20"/>
                <w:u w:val="single"/>
              </w:rPr>
              <w:t xml:space="preserve"> (% </w:t>
            </w:r>
            <w:proofErr w:type="spellStart"/>
            <w:r w:rsidRPr="00CE310D">
              <w:rPr>
                <w:rFonts w:asciiTheme="minorHAnsi" w:hAnsiTheme="minorHAnsi" w:cstheme="minorHAnsi"/>
                <w:b/>
                <w:sz w:val="20"/>
                <w:szCs w:val="20"/>
                <w:u w:val="single"/>
              </w:rPr>
              <w:t>OF</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NON-FULLY</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DEPRECIATED</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ASSETS</w:t>
            </w:r>
            <w:proofErr w:type="spellEnd"/>
            <w:r w:rsidRPr="00CE310D">
              <w:rPr>
                <w:rFonts w:asciiTheme="minorHAnsi" w:hAnsiTheme="minorHAnsi" w:cstheme="minorHAnsi"/>
                <w:b/>
                <w:sz w:val="20"/>
                <w:szCs w:val="20"/>
                <w:u w:val="single"/>
              </w:rPr>
              <w:t>)</w:t>
            </w:r>
            <w:r w:rsidRPr="00CE310D">
              <w:rPr>
                <w:rFonts w:asciiTheme="minorHAnsi" w:hAnsiTheme="minorHAnsi" w:cstheme="minorHAnsi"/>
                <w:sz w:val="20"/>
                <w:szCs w:val="20"/>
              </w:rPr>
              <w:t>"</w:t>
            </w:r>
          </w:p>
          <w:p w14:paraId="31905DCC" w14:textId="77777777" w:rsidR="000C77C7" w:rsidRPr="00CE310D" w:rsidRDefault="000C77C7" w:rsidP="000C77C7">
            <w:pPr>
              <w:rPr>
                <w:rFonts w:asciiTheme="minorHAnsi" w:hAnsiTheme="minorHAnsi" w:cstheme="minorHAnsi"/>
                <w:sz w:val="20"/>
                <w:szCs w:val="20"/>
              </w:rPr>
            </w:pPr>
          </w:p>
          <w:p w14:paraId="0A6B1A94"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HT smatra da parametri u navedenom radnom listu modela nisu ispravno izračunati, što je rezultiralo netočnim i nepreciznim vrijednostima u modelu. Za izračun tih parametara, HAKOM je koristio </w:t>
            </w:r>
            <w:proofErr w:type="spellStart"/>
            <w:r w:rsidRPr="00CE310D">
              <w:rPr>
                <w:rFonts w:asciiTheme="minorHAnsi" w:hAnsiTheme="minorHAnsi" w:cstheme="minorHAnsi"/>
                <w:sz w:val="20"/>
                <w:szCs w:val="20"/>
              </w:rPr>
              <w:t>GRC</w:t>
            </w:r>
            <w:proofErr w:type="spellEnd"/>
            <w:r w:rsidRPr="00CE310D">
              <w:rPr>
                <w:rFonts w:asciiTheme="minorHAnsi" w:hAnsiTheme="minorHAnsi" w:cstheme="minorHAnsi"/>
                <w:sz w:val="20"/>
                <w:szCs w:val="20"/>
              </w:rPr>
              <w:t xml:space="preserve"> vrijednosti koje je dostavio HT, unatoč tome što je HAKOM te vrijednosti u modelu u listu "1E </w:t>
            </w:r>
            <w:proofErr w:type="spellStart"/>
            <w:r w:rsidRPr="00CE310D">
              <w:rPr>
                <w:rFonts w:asciiTheme="minorHAnsi" w:hAnsiTheme="minorHAnsi" w:cstheme="minorHAnsi"/>
                <w:sz w:val="20"/>
                <w:szCs w:val="20"/>
              </w:rPr>
              <w:t>INP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UNITARY</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COSTS</w:t>
            </w:r>
            <w:proofErr w:type="spellEnd"/>
            <w:r w:rsidRPr="00CE310D">
              <w:rPr>
                <w:rFonts w:asciiTheme="minorHAnsi" w:hAnsiTheme="minorHAnsi" w:cstheme="minorHAnsi"/>
                <w:sz w:val="20"/>
                <w:szCs w:val="20"/>
              </w:rPr>
              <w:t>" umanjio. Stoga, HT smatra da ovakav nedosljedan pristup stvara neusklađenost u modelu i neprecizno odražava stvarne troškove.</w:t>
            </w:r>
          </w:p>
          <w:p w14:paraId="49E74D79" w14:textId="77777777" w:rsidR="000C77C7" w:rsidRPr="00CE310D" w:rsidRDefault="000C77C7" w:rsidP="000C77C7">
            <w:pPr>
              <w:jc w:val="both"/>
              <w:rPr>
                <w:rFonts w:asciiTheme="minorHAnsi" w:hAnsiTheme="minorHAnsi" w:cstheme="minorHAnsi"/>
                <w:sz w:val="20"/>
                <w:szCs w:val="20"/>
              </w:rPr>
            </w:pPr>
          </w:p>
          <w:p w14:paraId="4993ED27"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Da bi se postigla dosljednost i točnost u izračunu parametara, HT smatra kako bi bilo prikladno da HAKOM zadrži iste vrijednosti u modelu i u izračunu parametara. Na taj način, ili bi se povećali jedinični troškovi rovova s cijevima u listu "1E </w:t>
            </w:r>
            <w:proofErr w:type="spellStart"/>
            <w:r w:rsidRPr="00CE310D">
              <w:rPr>
                <w:rFonts w:asciiTheme="minorHAnsi" w:hAnsiTheme="minorHAnsi" w:cstheme="minorHAnsi"/>
                <w:sz w:val="20"/>
                <w:szCs w:val="20"/>
              </w:rPr>
              <w:t>INP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UNITARY</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COSTS</w:t>
            </w:r>
            <w:proofErr w:type="spellEnd"/>
            <w:r w:rsidRPr="00CE310D">
              <w:rPr>
                <w:rFonts w:asciiTheme="minorHAnsi" w:hAnsiTheme="minorHAnsi" w:cstheme="minorHAnsi"/>
                <w:sz w:val="20"/>
                <w:szCs w:val="20"/>
              </w:rPr>
              <w:t>" ili bi se izračunala nova vrijednost parametra "</w:t>
            </w:r>
            <w:proofErr w:type="spellStart"/>
            <w:r w:rsidRPr="00CE310D">
              <w:rPr>
                <w:rFonts w:asciiTheme="minorHAnsi" w:hAnsiTheme="minorHAnsi" w:cstheme="minorHAnsi"/>
                <w:sz w:val="20"/>
                <w:szCs w:val="20"/>
              </w:rPr>
              <w:t>Resource</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lives</w:t>
            </w:r>
            <w:proofErr w:type="spellEnd"/>
            <w:r w:rsidRPr="00CE310D">
              <w:rPr>
                <w:rFonts w:asciiTheme="minorHAnsi" w:hAnsiTheme="minorHAnsi" w:cstheme="minorHAnsi"/>
                <w:sz w:val="20"/>
                <w:szCs w:val="20"/>
              </w:rPr>
              <w:t xml:space="preserve"> (%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NON-FULLY</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DEPRECIATED</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ASSETS</w:t>
            </w:r>
            <w:proofErr w:type="spellEnd"/>
            <w:r w:rsidRPr="00CE310D">
              <w:rPr>
                <w:rFonts w:asciiTheme="minorHAnsi" w:hAnsiTheme="minorHAnsi" w:cstheme="minorHAnsi"/>
                <w:sz w:val="20"/>
                <w:szCs w:val="20"/>
              </w:rPr>
              <w:t xml:space="preserve">)" koristeći niže vrijednosti jediničnih troškova rovova s cijevima iz liste "1E </w:t>
            </w:r>
            <w:proofErr w:type="spellStart"/>
            <w:r w:rsidRPr="00CE310D">
              <w:rPr>
                <w:rFonts w:asciiTheme="minorHAnsi" w:hAnsiTheme="minorHAnsi" w:cstheme="minorHAnsi"/>
                <w:sz w:val="20"/>
                <w:szCs w:val="20"/>
              </w:rPr>
              <w:t>INP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UNITARY</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COSTS</w:t>
            </w:r>
            <w:proofErr w:type="spellEnd"/>
            <w:r w:rsidRPr="00CE310D">
              <w:rPr>
                <w:rFonts w:asciiTheme="minorHAnsi" w:hAnsiTheme="minorHAnsi" w:cstheme="minorHAnsi"/>
                <w:sz w:val="20"/>
                <w:szCs w:val="20"/>
              </w:rPr>
              <w:t>".</w:t>
            </w:r>
          </w:p>
          <w:p w14:paraId="4AFDD4F9" w14:textId="77777777" w:rsidR="000C77C7" w:rsidRPr="00CE310D" w:rsidRDefault="000C77C7" w:rsidP="000C77C7">
            <w:pPr>
              <w:jc w:val="both"/>
              <w:rPr>
                <w:rFonts w:asciiTheme="minorHAnsi" w:hAnsiTheme="minorHAnsi" w:cstheme="minorHAnsi"/>
                <w:sz w:val="20"/>
                <w:szCs w:val="20"/>
              </w:rPr>
            </w:pPr>
          </w:p>
          <w:p w14:paraId="06E02C34"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Također, HT napominje da HAKOM nije uzeo u obzir klasu imovine "stupovi 75300000" za izračun </w:t>
            </w:r>
            <w:proofErr w:type="spellStart"/>
            <w:r w:rsidRPr="00CE310D">
              <w:rPr>
                <w:rFonts w:asciiTheme="minorHAnsi" w:hAnsiTheme="minorHAnsi" w:cstheme="minorHAnsi"/>
                <w:sz w:val="20"/>
                <w:szCs w:val="20"/>
              </w:rPr>
              <w:t>GRC</w:t>
            </w:r>
            <w:proofErr w:type="spellEnd"/>
            <w:r w:rsidRPr="00CE310D">
              <w:rPr>
                <w:rFonts w:asciiTheme="minorHAnsi" w:hAnsiTheme="minorHAnsi" w:cstheme="minorHAnsi"/>
                <w:sz w:val="20"/>
                <w:szCs w:val="20"/>
              </w:rPr>
              <w:t xml:space="preserve"> imovine koja nije potpuno amortizirana na temelju HT-ovog financijskog izvještaja za 2022. dok je istovremeno uzeo vrijednost stupova za rovove s cijevima u ukupni </w:t>
            </w:r>
            <w:proofErr w:type="spellStart"/>
            <w:r w:rsidRPr="00CE310D">
              <w:rPr>
                <w:rFonts w:asciiTheme="minorHAnsi" w:hAnsiTheme="minorHAnsi" w:cstheme="minorHAnsi"/>
                <w:sz w:val="20"/>
                <w:szCs w:val="20"/>
              </w:rPr>
              <w:t>GRC</w:t>
            </w:r>
            <w:proofErr w:type="spellEnd"/>
            <w:r w:rsidRPr="00CE310D">
              <w:rPr>
                <w:rFonts w:asciiTheme="minorHAnsi" w:hAnsiTheme="minorHAnsi" w:cstheme="minorHAnsi"/>
                <w:sz w:val="20"/>
                <w:szCs w:val="20"/>
              </w:rPr>
              <w:t xml:space="preserve"> na osnovu tehničke evidencije za istu godinu. HT ističe da ovakva razlika u pristupu može dovesti do netočnih i nepreciznih vrijednosti u modelu te ne uzima u obzir stvarne karakteristike i vrijednosti imovine.</w:t>
            </w:r>
          </w:p>
          <w:p w14:paraId="610C6EE7" w14:textId="77777777" w:rsidR="000C77C7" w:rsidRPr="00CE310D" w:rsidRDefault="000C77C7" w:rsidP="000C77C7">
            <w:pPr>
              <w:jc w:val="both"/>
              <w:rPr>
                <w:rFonts w:asciiTheme="minorHAnsi" w:hAnsiTheme="minorHAnsi" w:cstheme="minorHAnsi"/>
                <w:sz w:val="20"/>
                <w:szCs w:val="20"/>
              </w:rPr>
            </w:pPr>
          </w:p>
          <w:p w14:paraId="45E3206A" w14:textId="77777777" w:rsidR="00132EA6" w:rsidRPr="00CE310D" w:rsidRDefault="000C77C7" w:rsidP="000A1F16">
            <w:pPr>
              <w:jc w:val="both"/>
              <w:rPr>
                <w:rFonts w:asciiTheme="minorHAnsi" w:hAnsiTheme="minorHAnsi" w:cstheme="minorHAnsi"/>
                <w:sz w:val="20"/>
                <w:szCs w:val="20"/>
              </w:rPr>
            </w:pPr>
            <w:r w:rsidRPr="00CE310D">
              <w:rPr>
                <w:rFonts w:asciiTheme="minorHAnsi" w:hAnsiTheme="minorHAnsi" w:cstheme="minorHAnsi"/>
                <w:sz w:val="20"/>
                <w:szCs w:val="20"/>
              </w:rPr>
              <w:t>Druge nedostatke u izračunu parametra "</w:t>
            </w:r>
            <w:proofErr w:type="spellStart"/>
            <w:r w:rsidRPr="00CE310D">
              <w:rPr>
                <w:rFonts w:asciiTheme="minorHAnsi" w:hAnsiTheme="minorHAnsi" w:cstheme="minorHAnsi"/>
                <w:sz w:val="20"/>
                <w:szCs w:val="20"/>
              </w:rPr>
              <w:t>Resource</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lives</w:t>
            </w:r>
            <w:proofErr w:type="spellEnd"/>
            <w:r w:rsidRPr="00CE310D">
              <w:rPr>
                <w:rFonts w:asciiTheme="minorHAnsi" w:hAnsiTheme="minorHAnsi" w:cstheme="minorHAnsi"/>
                <w:sz w:val="20"/>
                <w:szCs w:val="20"/>
              </w:rPr>
              <w:t xml:space="preserve"> (%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NON-FULLY</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DEPRECIATED</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ASSETS</w:t>
            </w:r>
            <w:proofErr w:type="spellEnd"/>
            <w:r w:rsidRPr="00CE310D">
              <w:rPr>
                <w:rFonts w:asciiTheme="minorHAnsi" w:hAnsiTheme="minorHAnsi" w:cstheme="minorHAnsi"/>
                <w:sz w:val="20"/>
                <w:szCs w:val="20"/>
              </w:rPr>
              <w:t>)" HT detaljnije obrazlaže u odgovoru na pitanje broj 6.</w:t>
            </w:r>
          </w:p>
          <w:p w14:paraId="248F2937" w14:textId="77777777" w:rsidR="000C77C7" w:rsidRPr="00CE310D" w:rsidRDefault="000C77C7" w:rsidP="000C77C7">
            <w:pPr>
              <w:rPr>
                <w:rFonts w:asciiTheme="minorHAnsi" w:hAnsiTheme="minorHAnsi" w:cstheme="minorHAnsi"/>
                <w:sz w:val="20"/>
                <w:szCs w:val="20"/>
              </w:rPr>
            </w:pPr>
          </w:p>
          <w:p w14:paraId="073364C8" w14:textId="77777777" w:rsidR="000C77C7" w:rsidRPr="00CE310D" w:rsidRDefault="000C77C7" w:rsidP="000C77C7">
            <w:pPr>
              <w:jc w:val="both"/>
              <w:rPr>
                <w:rFonts w:asciiTheme="minorHAnsi" w:hAnsiTheme="minorHAnsi" w:cstheme="minorHAnsi"/>
                <w:b/>
                <w:sz w:val="20"/>
                <w:szCs w:val="20"/>
                <w:u w:val="single"/>
              </w:rPr>
            </w:pPr>
            <w:r w:rsidRPr="00CE310D">
              <w:rPr>
                <w:rFonts w:asciiTheme="minorHAnsi" w:hAnsiTheme="minorHAnsi" w:cstheme="minorHAnsi"/>
                <w:b/>
                <w:sz w:val="20"/>
                <w:szCs w:val="20"/>
                <w:u w:val="single"/>
              </w:rPr>
              <w:t>Parametri "</w:t>
            </w:r>
            <w:proofErr w:type="spellStart"/>
            <w:r w:rsidRPr="00CE310D">
              <w:rPr>
                <w:rFonts w:asciiTheme="minorHAnsi" w:hAnsiTheme="minorHAnsi" w:cstheme="minorHAnsi"/>
                <w:b/>
                <w:sz w:val="20"/>
                <w:szCs w:val="20"/>
                <w:u w:val="single"/>
              </w:rPr>
              <w:t>USEFUL</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LIVES</w:t>
            </w:r>
            <w:proofErr w:type="spellEnd"/>
            <w:r w:rsidRPr="00CE310D">
              <w:rPr>
                <w:rFonts w:asciiTheme="minorHAnsi" w:hAnsiTheme="minorHAnsi" w:cstheme="minorHAnsi"/>
                <w:b/>
                <w:sz w:val="20"/>
                <w:szCs w:val="20"/>
                <w:u w:val="single"/>
              </w:rPr>
              <w:t>" za rovove s cijevima</w:t>
            </w:r>
          </w:p>
          <w:p w14:paraId="0DA73017" w14:textId="77777777" w:rsidR="000C77C7" w:rsidRPr="00CE310D" w:rsidRDefault="000C77C7" w:rsidP="000C77C7">
            <w:pPr>
              <w:rPr>
                <w:rFonts w:asciiTheme="minorHAnsi" w:hAnsiTheme="minorHAnsi" w:cstheme="minorHAnsi"/>
                <w:sz w:val="20"/>
                <w:szCs w:val="20"/>
              </w:rPr>
            </w:pPr>
          </w:p>
          <w:p w14:paraId="74FBB10D"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HT smatra da navedeni parametri nisu bili </w:t>
            </w:r>
            <w:proofErr w:type="spellStart"/>
            <w:r w:rsidRPr="00CE310D">
              <w:rPr>
                <w:rFonts w:asciiTheme="minorHAnsi" w:hAnsiTheme="minorHAnsi" w:cstheme="minorHAnsi"/>
                <w:sz w:val="20"/>
                <w:szCs w:val="20"/>
              </w:rPr>
              <w:t>ažuriraniu</w:t>
            </w:r>
            <w:proofErr w:type="spellEnd"/>
            <w:r w:rsidRPr="00CE310D">
              <w:rPr>
                <w:rFonts w:asciiTheme="minorHAnsi" w:hAnsiTheme="minorHAnsi" w:cstheme="minorHAnsi"/>
                <w:sz w:val="20"/>
                <w:szCs w:val="20"/>
              </w:rPr>
              <w:t xml:space="preserve"> u modelu, što predstavlja ozbiljan problem jer uzrokuje nesklad u vrijednostima između različitih dijelova modela i popratnih izračuna parametara. Naime, imovina koja se odnosi na rovove s cijevima u HT-u ima životni vijek od 30 godina, što znači da se ta imovina smatra potpuno amortiziranom nakon tog vremenskog razdoblja.</w:t>
            </w:r>
          </w:p>
          <w:p w14:paraId="76C431E9" w14:textId="77777777" w:rsidR="000C77C7" w:rsidRPr="00CE310D" w:rsidRDefault="000C77C7" w:rsidP="000C77C7">
            <w:pPr>
              <w:jc w:val="both"/>
              <w:rPr>
                <w:rFonts w:asciiTheme="minorHAnsi" w:hAnsiTheme="minorHAnsi" w:cstheme="minorHAnsi"/>
                <w:sz w:val="20"/>
                <w:szCs w:val="20"/>
              </w:rPr>
            </w:pPr>
          </w:p>
          <w:p w14:paraId="5FBBB0F4"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Međutim, HT ističe da HAKOM koristi parametar "</w:t>
            </w:r>
            <w:proofErr w:type="spellStart"/>
            <w:r w:rsidRPr="00CE310D">
              <w:rPr>
                <w:rFonts w:asciiTheme="minorHAnsi" w:hAnsiTheme="minorHAnsi" w:cstheme="minorHAnsi"/>
                <w:sz w:val="20"/>
                <w:szCs w:val="20"/>
              </w:rPr>
              <w:t>USEFUL</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LIVES</w:t>
            </w:r>
            <w:proofErr w:type="spellEnd"/>
            <w:r w:rsidRPr="00CE310D">
              <w:rPr>
                <w:rFonts w:asciiTheme="minorHAnsi" w:hAnsiTheme="minorHAnsi" w:cstheme="minorHAnsi"/>
                <w:sz w:val="20"/>
                <w:szCs w:val="20"/>
              </w:rPr>
              <w:t>" od 40 godina u samom modelu za izračun veleprodajnih cijena. HT smatra da ovakva neusklađenost u vrijednostima između stvarnog vijeka trajanja imovine i vrijednosti koju HAKOM koristi u modelu stvara netočne i neprecizne izračune troškova.</w:t>
            </w:r>
          </w:p>
          <w:p w14:paraId="3E805D7A" w14:textId="77777777" w:rsidR="000C77C7" w:rsidRPr="00CE310D" w:rsidRDefault="000C77C7" w:rsidP="000C77C7">
            <w:pPr>
              <w:rPr>
                <w:rFonts w:asciiTheme="minorHAnsi" w:hAnsiTheme="minorHAnsi" w:cstheme="minorHAnsi"/>
                <w:sz w:val="20"/>
                <w:szCs w:val="20"/>
              </w:rPr>
            </w:pPr>
          </w:p>
          <w:p w14:paraId="5D8EED2E" w14:textId="3FFADA66"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HT ističe da ovaj problem postaje još izraženiji kada se uzme u obzir da su</w:t>
            </w:r>
            <w:r w:rsidR="003E36A1">
              <w:rPr>
                <w:rFonts w:asciiTheme="minorHAnsi" w:hAnsiTheme="minorHAnsi" w:cstheme="minorHAnsi"/>
                <w:sz w:val="20"/>
                <w:szCs w:val="20"/>
              </w:rPr>
              <w:t xml:space="preserve"> se</w:t>
            </w:r>
            <w:r w:rsidRPr="00CE310D">
              <w:rPr>
                <w:rFonts w:asciiTheme="minorHAnsi" w:hAnsiTheme="minorHAnsi" w:cstheme="minorHAnsi"/>
                <w:sz w:val="20"/>
                <w:szCs w:val="20"/>
              </w:rPr>
              <w:t xml:space="preserve"> parametri u radnom listu </w:t>
            </w:r>
            <w:proofErr w:type="spellStart"/>
            <w:r w:rsidRPr="00CE310D">
              <w:rPr>
                <w:rFonts w:asciiTheme="minorHAnsi" w:hAnsiTheme="minorHAnsi" w:cstheme="minorHAnsi"/>
                <w:sz w:val="20"/>
                <w:szCs w:val="20"/>
              </w:rPr>
              <w:t>Resource</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life</w:t>
            </w:r>
            <w:proofErr w:type="spellEnd"/>
            <w:r w:rsidRPr="00CE310D">
              <w:rPr>
                <w:rFonts w:asciiTheme="minorHAnsi" w:hAnsiTheme="minorHAnsi" w:cstheme="minorHAnsi"/>
                <w:sz w:val="20"/>
                <w:szCs w:val="20"/>
              </w:rPr>
              <w:t xml:space="preserve"> značajno smanjili zbog amortizacije imovine sa vijekom trajanja od 30 godina. Međutim, HT ističe da HAKOM i dalje primjenjuje životni vijek od 40 godina za preostalu imovinu. Što znači da HT ne može povratiti svoje stvarne troškove kroz izračunate veleprodajne cijene, što stvara nepravednu situaciju.</w:t>
            </w:r>
          </w:p>
          <w:p w14:paraId="4F2DF213" w14:textId="77777777" w:rsidR="000C77C7" w:rsidRPr="00CE310D" w:rsidRDefault="000C77C7" w:rsidP="000C77C7">
            <w:pPr>
              <w:jc w:val="both"/>
              <w:rPr>
                <w:rFonts w:asciiTheme="minorHAnsi" w:hAnsiTheme="minorHAnsi" w:cstheme="minorHAnsi"/>
                <w:sz w:val="20"/>
                <w:szCs w:val="20"/>
              </w:rPr>
            </w:pPr>
          </w:p>
          <w:p w14:paraId="30ACA01D"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Uzimajući u obzir ovu neskladnost i nepravilnost u izračunima troškova, HT ističe nužnost ažuriranja parametara "</w:t>
            </w:r>
            <w:proofErr w:type="spellStart"/>
            <w:r w:rsidRPr="00CE310D">
              <w:rPr>
                <w:rFonts w:asciiTheme="minorHAnsi" w:hAnsiTheme="minorHAnsi" w:cstheme="minorHAnsi"/>
                <w:sz w:val="20"/>
                <w:szCs w:val="20"/>
              </w:rPr>
              <w:t>USEFUL</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LIVES</w:t>
            </w:r>
            <w:proofErr w:type="spellEnd"/>
            <w:r w:rsidRPr="00CE310D">
              <w:rPr>
                <w:rFonts w:asciiTheme="minorHAnsi" w:hAnsiTheme="minorHAnsi" w:cstheme="minorHAnsi"/>
                <w:sz w:val="20"/>
                <w:szCs w:val="20"/>
              </w:rPr>
              <w:t>" kako bi se osigurala dosljednost i točnost u modelu za određivanje veleprodajnih cijena. HT smatra da je ovo ključno kako bi se pravilno uzeli u obzir stvarni vijek trajanja imovine i omogućilo HT-u da ostvari povrat svojih stvarnih troškova putem veleprodajnih cijena na tržištu telekomunikacija.</w:t>
            </w:r>
          </w:p>
          <w:p w14:paraId="698750E0" w14:textId="77777777" w:rsidR="000C77C7" w:rsidRPr="00CE310D" w:rsidRDefault="000C77C7" w:rsidP="000C77C7">
            <w:pPr>
              <w:jc w:val="both"/>
              <w:rPr>
                <w:rFonts w:asciiTheme="minorHAnsi" w:hAnsiTheme="minorHAnsi" w:cstheme="minorHAnsi"/>
                <w:sz w:val="20"/>
                <w:szCs w:val="20"/>
              </w:rPr>
            </w:pPr>
          </w:p>
          <w:p w14:paraId="07368123"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U slučaju da HAKOM ostane pri primjeni životnog vijeka od 40 godina, HT smatra nužnim ručno prilagoditi vrijednost svoje imovine kako bi umanjio negativne posljedice koji trenutno korištene postavke imaju na izračun troškova.</w:t>
            </w:r>
          </w:p>
          <w:p w14:paraId="5104D46F" w14:textId="77777777" w:rsidR="000C77C7" w:rsidRPr="00CE310D" w:rsidRDefault="000C77C7" w:rsidP="000C77C7">
            <w:pPr>
              <w:rPr>
                <w:rFonts w:asciiTheme="minorHAnsi" w:hAnsiTheme="minorHAnsi" w:cstheme="minorHAnsi"/>
                <w:sz w:val="20"/>
                <w:szCs w:val="20"/>
              </w:rPr>
            </w:pPr>
          </w:p>
          <w:p w14:paraId="5AA886B3" w14:textId="77777777" w:rsidR="000C77C7" w:rsidRPr="00CE310D" w:rsidRDefault="000C77C7" w:rsidP="000C77C7">
            <w:pPr>
              <w:rPr>
                <w:rFonts w:asciiTheme="minorHAnsi" w:hAnsiTheme="minorHAnsi" w:cstheme="minorHAnsi"/>
                <w:b/>
                <w:sz w:val="20"/>
                <w:szCs w:val="20"/>
                <w:u w:val="single"/>
              </w:rPr>
            </w:pPr>
            <w:r w:rsidRPr="00CE310D">
              <w:rPr>
                <w:rFonts w:asciiTheme="minorHAnsi" w:hAnsiTheme="minorHAnsi" w:cstheme="minorHAnsi"/>
                <w:b/>
                <w:sz w:val="20"/>
                <w:szCs w:val="20"/>
                <w:u w:val="single"/>
              </w:rPr>
              <w:t>Parametri „</w:t>
            </w:r>
            <w:proofErr w:type="spellStart"/>
            <w:r w:rsidRPr="00CE310D">
              <w:rPr>
                <w:rFonts w:asciiTheme="minorHAnsi" w:hAnsiTheme="minorHAnsi" w:cstheme="minorHAnsi"/>
                <w:b/>
                <w:sz w:val="20"/>
                <w:szCs w:val="20"/>
                <w:u w:val="single"/>
              </w:rPr>
              <w:t>Number</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of</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hubs</w:t>
            </w:r>
            <w:proofErr w:type="spellEnd"/>
            <w:r w:rsidRPr="00CE310D">
              <w:rPr>
                <w:rFonts w:asciiTheme="minorHAnsi" w:hAnsiTheme="minorHAnsi" w:cstheme="minorHAnsi"/>
                <w:b/>
                <w:sz w:val="20"/>
                <w:szCs w:val="20"/>
                <w:u w:val="single"/>
              </w:rPr>
              <w:t xml:space="preserve"> </w:t>
            </w:r>
            <w:proofErr w:type="spellStart"/>
            <w:r w:rsidRPr="00CE310D">
              <w:rPr>
                <w:rFonts w:asciiTheme="minorHAnsi" w:hAnsiTheme="minorHAnsi" w:cstheme="minorHAnsi"/>
                <w:b/>
                <w:sz w:val="20"/>
                <w:szCs w:val="20"/>
                <w:u w:val="single"/>
              </w:rPr>
              <w:t>employed</w:t>
            </w:r>
            <w:proofErr w:type="spellEnd"/>
          </w:p>
          <w:p w14:paraId="0E446DC0" w14:textId="77777777" w:rsidR="000C77C7" w:rsidRPr="00CE310D" w:rsidRDefault="000C77C7" w:rsidP="000C77C7">
            <w:pPr>
              <w:rPr>
                <w:rFonts w:asciiTheme="minorHAnsi" w:hAnsiTheme="minorHAnsi" w:cstheme="minorHAnsi"/>
                <w:b/>
                <w:sz w:val="20"/>
                <w:szCs w:val="20"/>
                <w:u w:val="single"/>
              </w:rPr>
            </w:pPr>
          </w:p>
          <w:p w14:paraId="723327BA" w14:textId="15995ABE"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HT smatra da navedeni parametri nisu ažurirani u modelu. Naime, HT ističe da </w:t>
            </w:r>
            <w:r w:rsidR="004C32C3">
              <w:rPr>
                <w:rFonts w:asciiTheme="minorHAnsi" w:hAnsiTheme="minorHAnsi" w:cstheme="minorHAnsi"/>
                <w:sz w:val="20"/>
                <w:szCs w:val="20"/>
              </w:rPr>
              <w:t xml:space="preserve">je </w:t>
            </w:r>
            <w:r w:rsidRPr="00CE310D">
              <w:rPr>
                <w:rFonts w:asciiTheme="minorHAnsi" w:hAnsiTheme="minorHAnsi" w:cstheme="minorHAnsi"/>
                <w:sz w:val="20"/>
                <w:szCs w:val="20"/>
              </w:rPr>
              <w:t xml:space="preserve">trošak maloprodajnog pristupa Internetu u </w:t>
            </w:r>
            <w:proofErr w:type="spellStart"/>
            <w:r w:rsidRPr="00CE310D">
              <w:rPr>
                <w:rFonts w:asciiTheme="minorHAnsi" w:hAnsiTheme="minorHAnsi" w:cstheme="minorHAnsi"/>
                <w:sz w:val="20"/>
                <w:szCs w:val="20"/>
              </w:rPr>
              <w:t>jezgrenoj</w:t>
            </w:r>
            <w:proofErr w:type="spellEnd"/>
            <w:r w:rsidRPr="00CE310D">
              <w:rPr>
                <w:rFonts w:asciiTheme="minorHAnsi" w:hAnsiTheme="minorHAnsi" w:cstheme="minorHAnsi"/>
                <w:sz w:val="20"/>
                <w:szCs w:val="20"/>
              </w:rPr>
              <w:t xml:space="preserve"> mreži neopravdano značajno veći od troška veleprodajnog pristupa Internetu što je izravna posljedica pogrešnog iznosa i pogrešnog korištenja parametara „</w:t>
            </w:r>
            <w:proofErr w:type="spellStart"/>
            <w:r w:rsidRPr="00CE310D">
              <w:rPr>
                <w:rFonts w:asciiTheme="minorHAnsi" w:hAnsiTheme="minorHAnsi" w:cstheme="minorHAnsi"/>
                <w:sz w:val="20"/>
                <w:szCs w:val="20"/>
              </w:rPr>
              <w:t>Number</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of</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hubs</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employed</w:t>
            </w:r>
            <w:proofErr w:type="spellEnd"/>
            <w:r w:rsidRPr="00CE310D">
              <w:rPr>
                <w:rFonts w:asciiTheme="minorHAnsi" w:hAnsiTheme="minorHAnsi" w:cstheme="minorHAnsi"/>
                <w:sz w:val="20"/>
                <w:szCs w:val="20"/>
              </w:rPr>
              <w:t xml:space="preserve"> …“ u modelu.</w:t>
            </w:r>
          </w:p>
          <w:p w14:paraId="2F8807A1" w14:textId="77777777" w:rsidR="000C77C7" w:rsidRPr="00CE310D" w:rsidRDefault="000C77C7" w:rsidP="000C77C7">
            <w:pPr>
              <w:rPr>
                <w:rFonts w:asciiTheme="minorHAnsi" w:hAnsiTheme="minorHAnsi" w:cstheme="minorHAnsi"/>
                <w:sz w:val="20"/>
                <w:szCs w:val="20"/>
              </w:rPr>
            </w:pPr>
          </w:p>
          <w:p w14:paraId="1099651D" w14:textId="7777777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HT ističe kako je prilikom analize važećeg </w:t>
            </w:r>
            <w:proofErr w:type="spellStart"/>
            <w:r w:rsidRPr="00CE310D">
              <w:rPr>
                <w:rFonts w:asciiTheme="minorHAnsi" w:hAnsiTheme="minorHAnsi" w:cstheme="minorHAnsi"/>
                <w:sz w:val="20"/>
                <w:szCs w:val="20"/>
              </w:rPr>
              <w:t>SEO</w:t>
            </w:r>
            <w:proofErr w:type="spellEnd"/>
            <w:r w:rsidRPr="00CE310D">
              <w:rPr>
                <w:rFonts w:asciiTheme="minorHAnsi" w:hAnsiTheme="minorHAnsi" w:cstheme="minorHAnsi"/>
                <w:sz w:val="20"/>
                <w:szCs w:val="20"/>
              </w:rPr>
              <w:t xml:space="preserve"> modela detaljno objasnio način realizacije maloprodajnog i veleprodajnog pristupa Internetu – dvije usluge se razlikuju samo na razini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uređaja. U naporu da osigura točnost podataka za ažuriranje </w:t>
            </w:r>
            <w:proofErr w:type="spellStart"/>
            <w:r w:rsidRPr="00CE310D">
              <w:rPr>
                <w:rFonts w:asciiTheme="minorHAnsi" w:hAnsiTheme="minorHAnsi" w:cstheme="minorHAnsi"/>
                <w:sz w:val="20"/>
                <w:szCs w:val="20"/>
              </w:rPr>
              <w:t>BU-LRIC</w:t>
            </w:r>
            <w:proofErr w:type="spellEnd"/>
            <w:r w:rsidRPr="00CE310D">
              <w:rPr>
                <w:rFonts w:asciiTheme="minorHAnsi" w:hAnsiTheme="minorHAnsi" w:cstheme="minorHAnsi"/>
                <w:sz w:val="20"/>
                <w:szCs w:val="20"/>
              </w:rPr>
              <w:t>+ troškovnog modela, HT ističe da je ponovno dostavio shemu mreže koja jasno pokazuje ovu sličnost i podnio dodatno obrazloženje predmetne problematike.</w:t>
            </w:r>
          </w:p>
          <w:p w14:paraId="67C8B0CC" w14:textId="77777777" w:rsidR="000C77C7" w:rsidRPr="00CE310D" w:rsidRDefault="000C77C7" w:rsidP="000C77C7">
            <w:pPr>
              <w:rPr>
                <w:rFonts w:asciiTheme="minorHAnsi" w:hAnsiTheme="minorHAnsi" w:cstheme="minorHAnsi"/>
                <w:sz w:val="20"/>
                <w:szCs w:val="20"/>
              </w:rPr>
            </w:pPr>
          </w:p>
          <w:p w14:paraId="193362D8" w14:textId="373ADCC7" w:rsidR="000C77C7" w:rsidRPr="00CE310D" w:rsidRDefault="000C77C7" w:rsidP="000C77C7">
            <w:pPr>
              <w:jc w:val="both"/>
              <w:rPr>
                <w:rFonts w:asciiTheme="minorHAnsi" w:hAnsiTheme="minorHAnsi" w:cstheme="minorHAnsi"/>
                <w:sz w:val="20"/>
                <w:szCs w:val="20"/>
              </w:rPr>
            </w:pPr>
            <w:r w:rsidRPr="00CE310D">
              <w:rPr>
                <w:rFonts w:asciiTheme="minorHAnsi" w:hAnsiTheme="minorHAnsi" w:cstheme="minorHAnsi"/>
                <w:sz w:val="20"/>
                <w:szCs w:val="20"/>
              </w:rPr>
              <w:t xml:space="preserve">HT navodi da u realizaciji kroz IP mrežu </w:t>
            </w:r>
            <w:r w:rsidR="009B1EE6" w:rsidRPr="00CE310D">
              <w:rPr>
                <w:rFonts w:asciiTheme="minorHAnsi" w:hAnsiTheme="minorHAnsi" w:cstheme="minorHAnsi"/>
                <w:sz w:val="20"/>
                <w:szCs w:val="20"/>
              </w:rPr>
              <w:t>razlik</w:t>
            </w:r>
            <w:r w:rsidR="009B1EE6">
              <w:rPr>
                <w:rFonts w:asciiTheme="minorHAnsi" w:hAnsiTheme="minorHAnsi" w:cstheme="minorHAnsi"/>
                <w:sz w:val="20"/>
                <w:szCs w:val="20"/>
              </w:rPr>
              <w:t>a</w:t>
            </w:r>
            <w:r w:rsidR="009B1EE6" w:rsidRPr="00CE310D">
              <w:rPr>
                <w:rFonts w:asciiTheme="minorHAnsi" w:hAnsiTheme="minorHAnsi" w:cstheme="minorHAnsi"/>
                <w:sz w:val="20"/>
                <w:szCs w:val="20"/>
              </w:rPr>
              <w:t xml:space="preserve"> </w:t>
            </w:r>
            <w:r w:rsidRPr="00CE310D">
              <w:rPr>
                <w:rFonts w:asciiTheme="minorHAnsi" w:hAnsiTheme="minorHAnsi" w:cstheme="minorHAnsi"/>
                <w:sz w:val="20"/>
                <w:szCs w:val="20"/>
              </w:rPr>
              <w:t xml:space="preserve">između veleprodajnih korisnika s međupovezivanjem na </w:t>
            </w:r>
            <w:proofErr w:type="spellStart"/>
            <w:r w:rsidRPr="00CE310D">
              <w:rPr>
                <w:rFonts w:asciiTheme="minorHAnsi" w:hAnsiTheme="minorHAnsi" w:cstheme="minorHAnsi"/>
                <w:sz w:val="20"/>
                <w:szCs w:val="20"/>
              </w:rPr>
              <w:t>Ethernet</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razini i veleprodajnih korisnika s međupovezivanjem na IP Regionalnoj i Nacionalnoj razini je samo u korištenju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uređaja i linija između njih - s obzirom na to</w:t>
            </w:r>
            <w:r w:rsidR="009B1EE6">
              <w:rPr>
                <w:rFonts w:asciiTheme="minorHAnsi" w:hAnsiTheme="minorHAnsi" w:cstheme="minorHAnsi"/>
                <w:sz w:val="20"/>
                <w:szCs w:val="20"/>
              </w:rPr>
              <w:t>,</w:t>
            </w:r>
            <w:r w:rsidRPr="00CE310D">
              <w:rPr>
                <w:rFonts w:asciiTheme="minorHAnsi" w:hAnsiTheme="minorHAnsi" w:cstheme="minorHAnsi"/>
                <w:sz w:val="20"/>
                <w:szCs w:val="20"/>
              </w:rPr>
              <w:t xml:space="preserve"> troškovna razlika može se iskazati samo na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razini. Analizom topologije mreže, HT ističe kako se može utvrditi da na IP Nacionalnoj razini postoji maksimalno pet prolazaka kroz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routere</w:t>
            </w:r>
            <w:proofErr w:type="spellEnd"/>
            <w:r w:rsidRPr="00CE310D">
              <w:rPr>
                <w:rFonts w:asciiTheme="minorHAnsi" w:hAnsiTheme="minorHAnsi" w:cstheme="minorHAnsi"/>
                <w:sz w:val="20"/>
                <w:szCs w:val="20"/>
              </w:rPr>
              <w:t xml:space="preserve"> ali to je samo teoretski, u praksi taj broj je u velikoj većini slučajeva manji - </w:t>
            </w:r>
            <w:proofErr w:type="spellStart"/>
            <w:r w:rsidRPr="00CE310D">
              <w:rPr>
                <w:rFonts w:asciiTheme="minorHAnsi" w:hAnsiTheme="minorHAnsi" w:cstheme="minorHAnsi"/>
                <w:sz w:val="20"/>
                <w:szCs w:val="20"/>
              </w:rPr>
              <w:t>npr</w:t>
            </w:r>
            <w:proofErr w:type="spellEnd"/>
            <w:r w:rsidRPr="00CE310D">
              <w:rPr>
                <w:rFonts w:asciiTheme="minorHAnsi" w:hAnsiTheme="minorHAnsi" w:cstheme="minorHAnsi"/>
                <w:sz w:val="20"/>
                <w:szCs w:val="20"/>
              </w:rPr>
              <w:t xml:space="preserve"> ako je korisnik iz ZG on može koristiti samo jedan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ako je točka nacionalne </w:t>
            </w:r>
            <w:proofErr w:type="spellStart"/>
            <w:r w:rsidRPr="00CE310D">
              <w:rPr>
                <w:rFonts w:asciiTheme="minorHAnsi" w:hAnsiTheme="minorHAnsi" w:cstheme="minorHAnsi"/>
                <w:sz w:val="20"/>
                <w:szCs w:val="20"/>
              </w:rPr>
              <w:t>interkonekcije</w:t>
            </w:r>
            <w:proofErr w:type="spellEnd"/>
            <w:r w:rsidRPr="00CE310D">
              <w:rPr>
                <w:rFonts w:asciiTheme="minorHAnsi" w:hAnsiTheme="minorHAnsi" w:cstheme="minorHAnsi"/>
                <w:sz w:val="20"/>
                <w:szCs w:val="20"/>
              </w:rPr>
              <w:t xml:space="preserve"> u Zagrebu. Isto tako za </w:t>
            </w:r>
            <w:proofErr w:type="spellStart"/>
            <w:r w:rsidRPr="00CE310D">
              <w:rPr>
                <w:rFonts w:asciiTheme="minorHAnsi" w:hAnsiTheme="minorHAnsi" w:cstheme="minorHAnsi"/>
                <w:sz w:val="20"/>
                <w:szCs w:val="20"/>
              </w:rPr>
              <w:t>interkonekciju</w:t>
            </w:r>
            <w:proofErr w:type="spellEnd"/>
            <w:r w:rsidRPr="00CE310D">
              <w:rPr>
                <w:rFonts w:asciiTheme="minorHAnsi" w:hAnsiTheme="minorHAnsi" w:cstheme="minorHAnsi"/>
                <w:sz w:val="20"/>
                <w:szCs w:val="20"/>
              </w:rPr>
              <w:t xml:space="preserve"> na IP  Regionalnoj razini ako se korisnik nalazi u nekom drugom Regionalnom središtu a ne u Zagrebu on može koristiti samo jedan </w:t>
            </w:r>
            <w:proofErr w:type="spellStart"/>
            <w:r w:rsidRPr="00CE310D">
              <w:rPr>
                <w:rFonts w:asciiTheme="minorHAnsi" w:hAnsiTheme="minorHAnsi" w:cstheme="minorHAnsi"/>
                <w:sz w:val="20"/>
                <w:szCs w:val="20"/>
              </w:rPr>
              <w:t>HUB</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router</w:t>
            </w:r>
            <w:proofErr w:type="spellEnd"/>
            <w:r w:rsidRPr="00CE310D">
              <w:rPr>
                <w:rFonts w:asciiTheme="minorHAnsi" w:hAnsiTheme="minorHAnsi" w:cstheme="minorHAnsi"/>
                <w:sz w:val="20"/>
                <w:szCs w:val="20"/>
              </w:rPr>
              <w:t>. HT smatra da je HAKOM ovaj parametar definirao na maksimalnom broj prolazaka umjesto na prosječnom.</w:t>
            </w:r>
          </w:p>
          <w:p w14:paraId="4A70F2BE" w14:textId="6363BF0D" w:rsidR="000C77C7" w:rsidRPr="00CE310D" w:rsidRDefault="000C77C7" w:rsidP="000C77C7">
            <w:pPr>
              <w:rPr>
                <w:rFonts w:asciiTheme="minorHAnsi" w:hAnsiTheme="minorHAnsi" w:cstheme="minorHAnsi"/>
                <w:sz w:val="20"/>
                <w:szCs w:val="20"/>
              </w:rPr>
            </w:pPr>
          </w:p>
          <w:p w14:paraId="6AD553B5" w14:textId="7573A856" w:rsidR="000C77C7" w:rsidRPr="00CE310D" w:rsidRDefault="000C77C7" w:rsidP="00EC2EFF">
            <w:pPr>
              <w:jc w:val="both"/>
              <w:rPr>
                <w:rFonts w:asciiTheme="minorHAnsi" w:hAnsiTheme="minorHAnsi" w:cstheme="minorHAnsi"/>
                <w:sz w:val="20"/>
                <w:szCs w:val="20"/>
              </w:rPr>
            </w:pPr>
            <w:r w:rsidRPr="00CE310D">
              <w:rPr>
                <w:rFonts w:asciiTheme="minorHAnsi" w:hAnsiTheme="minorHAnsi" w:cstheme="minorHAnsi"/>
                <w:sz w:val="20"/>
                <w:szCs w:val="20"/>
              </w:rPr>
              <w:t>Stoga, HT sugerira da se ovaj parametar preispita kako bi se uzeli u obzir stvarni uvjeti i troškovi u mreži, čime bi se osigurala dosljednost i pravilnost u modelu za određivanje veleprodajnih cijena</w:t>
            </w:r>
            <w:r w:rsidR="00EC2EFF" w:rsidRPr="00CE310D">
              <w:rPr>
                <w:rFonts w:asciiTheme="minorHAnsi" w:hAnsiTheme="minorHAnsi" w:cstheme="minorHAnsi"/>
                <w:sz w:val="20"/>
                <w:szCs w:val="20"/>
              </w:rPr>
              <w:t>.</w:t>
            </w:r>
          </w:p>
        </w:tc>
        <w:tc>
          <w:tcPr>
            <w:tcW w:w="1936" w:type="pct"/>
            <w:tcBorders>
              <w:top w:val="single" w:sz="6" w:space="0" w:color="CCCCCC"/>
              <w:left w:val="single" w:sz="6" w:space="0" w:color="CCCCCC"/>
              <w:bottom w:val="single" w:sz="6" w:space="0" w:color="CCCCCC"/>
              <w:right w:val="single" w:sz="6" w:space="0" w:color="CCCCCC"/>
            </w:tcBorders>
          </w:tcPr>
          <w:p w14:paraId="64AD766E" w14:textId="77777777" w:rsidR="00955CEB" w:rsidRDefault="00955CEB" w:rsidP="00C14C99">
            <w:pPr>
              <w:ind w:left="39"/>
              <w:jc w:val="both"/>
              <w:rPr>
                <w:rFonts w:asciiTheme="minorHAnsi" w:hAnsiTheme="minorHAnsi" w:cstheme="minorHAnsi"/>
                <w:sz w:val="20"/>
                <w:szCs w:val="20"/>
              </w:rPr>
            </w:pPr>
          </w:p>
          <w:p w14:paraId="5D8452AD" w14:textId="77777777" w:rsidR="00955CEB" w:rsidRDefault="00955CEB" w:rsidP="00C14C99">
            <w:pPr>
              <w:ind w:left="39"/>
              <w:jc w:val="both"/>
              <w:rPr>
                <w:rFonts w:asciiTheme="minorHAnsi" w:hAnsiTheme="minorHAnsi" w:cstheme="minorHAnsi"/>
                <w:sz w:val="20"/>
                <w:szCs w:val="20"/>
              </w:rPr>
            </w:pPr>
          </w:p>
          <w:p w14:paraId="608936A6" w14:textId="65EB5DA6" w:rsidR="00955CEB" w:rsidRDefault="0021579E" w:rsidP="00C14C99">
            <w:pPr>
              <w:ind w:left="39"/>
              <w:jc w:val="both"/>
              <w:rPr>
                <w:rFonts w:asciiTheme="minorHAnsi" w:hAnsiTheme="minorHAnsi" w:cstheme="minorHAnsi"/>
                <w:sz w:val="20"/>
                <w:szCs w:val="20"/>
              </w:rPr>
            </w:pPr>
            <w:r>
              <w:rPr>
                <w:rFonts w:asciiTheme="minorHAnsi" w:hAnsiTheme="minorHAnsi" w:cstheme="minorHAnsi"/>
                <w:sz w:val="20"/>
                <w:szCs w:val="20"/>
              </w:rPr>
              <w:t xml:space="preserve">Vezano uz HT-ovu primjedbu na izračun parametra </w:t>
            </w:r>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OF</w:t>
            </w:r>
            <w:proofErr w:type="spellEnd"/>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NON-FULLY</w:t>
            </w:r>
            <w:proofErr w:type="spellEnd"/>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DEPRECIATED</w:t>
            </w:r>
            <w:proofErr w:type="spellEnd"/>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ASSETS</w:t>
            </w:r>
            <w:proofErr w:type="spellEnd"/>
            <w:r>
              <w:rPr>
                <w:rFonts w:asciiTheme="minorHAnsi" w:hAnsiTheme="minorHAnsi" w:cstheme="minorHAnsi"/>
                <w:sz w:val="20"/>
                <w:szCs w:val="20"/>
              </w:rPr>
              <w:t xml:space="preserve">, HAKOM je mišljenja da HT-ovi argumenti nisu opravdani te da je izračun navedenog parametra ispravan bez obzira što je HAKOM umanjio jedinični trošak rovova koji je unesen u troškovni model. Naime, HT zaključuje da bi se primjenom novog jediničnog troška rovova (koji je HAKOM umanjio u odnosu na prijedlog HT-a) u izračunu </w:t>
            </w:r>
            <w:r w:rsidRPr="0021579E">
              <w:rPr>
                <w:rFonts w:asciiTheme="minorHAnsi" w:hAnsiTheme="minorHAnsi" w:cstheme="minorHAnsi"/>
                <w:sz w:val="20"/>
                <w:szCs w:val="20"/>
              </w:rPr>
              <w:t xml:space="preserve">parametra </w:t>
            </w:r>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OF</w:t>
            </w:r>
            <w:proofErr w:type="spellEnd"/>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NON-FULLY</w:t>
            </w:r>
            <w:proofErr w:type="spellEnd"/>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DEPRECIATED</w:t>
            </w:r>
            <w:proofErr w:type="spellEnd"/>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ASSETS</w:t>
            </w:r>
            <w:proofErr w:type="spellEnd"/>
            <w:r>
              <w:rPr>
                <w:rFonts w:asciiTheme="minorHAnsi" w:hAnsiTheme="minorHAnsi" w:cstheme="minorHAnsi"/>
                <w:sz w:val="20"/>
                <w:szCs w:val="20"/>
              </w:rPr>
              <w:t xml:space="preserve"> povećao iznos navedenog parametra, zanemarujući pri tom da se na taj način ne bi umanjio samo ukupni </w:t>
            </w:r>
            <w:proofErr w:type="spellStart"/>
            <w:r>
              <w:rPr>
                <w:rFonts w:asciiTheme="minorHAnsi" w:hAnsiTheme="minorHAnsi" w:cstheme="minorHAnsi"/>
                <w:sz w:val="20"/>
                <w:szCs w:val="20"/>
              </w:rPr>
              <w:t>GRC</w:t>
            </w:r>
            <w:proofErr w:type="spellEnd"/>
            <w:r>
              <w:rPr>
                <w:rFonts w:asciiTheme="minorHAnsi" w:hAnsiTheme="minorHAnsi" w:cstheme="minorHAnsi"/>
                <w:sz w:val="20"/>
                <w:szCs w:val="20"/>
              </w:rPr>
              <w:t xml:space="preserve"> koji je uzet iz HT-ove tehničke evidencije za 2022, nego i </w:t>
            </w:r>
            <w:proofErr w:type="spellStart"/>
            <w:r>
              <w:rPr>
                <w:rFonts w:asciiTheme="minorHAnsi" w:hAnsiTheme="minorHAnsi" w:cstheme="minorHAnsi"/>
                <w:sz w:val="20"/>
                <w:szCs w:val="20"/>
              </w:rPr>
              <w:t>GRC</w:t>
            </w:r>
            <w:proofErr w:type="spellEnd"/>
            <w:r>
              <w:rPr>
                <w:rFonts w:asciiTheme="minorHAnsi" w:hAnsiTheme="minorHAnsi" w:cstheme="minorHAnsi"/>
                <w:sz w:val="20"/>
                <w:szCs w:val="20"/>
              </w:rPr>
              <w:t xml:space="preserve"> imovine iz FAR-a za 2022 što bi dovelo do jednakog rezultata za parametar </w:t>
            </w:r>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OF</w:t>
            </w:r>
            <w:proofErr w:type="spellEnd"/>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NON-FULLY</w:t>
            </w:r>
            <w:proofErr w:type="spellEnd"/>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DEPRECIATED</w:t>
            </w:r>
            <w:proofErr w:type="spellEnd"/>
            <w:r w:rsidRPr="0021579E">
              <w:rPr>
                <w:rFonts w:asciiTheme="minorHAnsi" w:hAnsiTheme="minorHAnsi" w:cstheme="minorHAnsi"/>
                <w:sz w:val="20"/>
                <w:szCs w:val="20"/>
              </w:rPr>
              <w:t xml:space="preserve"> </w:t>
            </w:r>
            <w:proofErr w:type="spellStart"/>
            <w:r w:rsidRPr="0021579E">
              <w:rPr>
                <w:rFonts w:asciiTheme="minorHAnsi" w:hAnsiTheme="minorHAnsi" w:cstheme="minorHAnsi"/>
                <w:sz w:val="20"/>
                <w:szCs w:val="20"/>
              </w:rPr>
              <w:t>ASSETS</w:t>
            </w:r>
            <w:proofErr w:type="spellEnd"/>
            <w:r>
              <w:rPr>
                <w:rFonts w:asciiTheme="minorHAnsi" w:hAnsiTheme="minorHAnsi" w:cstheme="minorHAnsi"/>
                <w:sz w:val="20"/>
                <w:szCs w:val="20"/>
              </w:rPr>
              <w:t>.</w:t>
            </w:r>
            <w:r w:rsidR="009B650C">
              <w:rPr>
                <w:rFonts w:asciiTheme="minorHAnsi" w:hAnsiTheme="minorHAnsi" w:cstheme="minorHAnsi"/>
                <w:sz w:val="20"/>
                <w:szCs w:val="20"/>
              </w:rPr>
              <w:t xml:space="preserve"> Naime, HAKOM ne osporava da je HT stvarno imao troškove rovova kako ih prezentira HAKOM-u, međutim, utvrđeno je da su pojedini troškovi koji su dio troškova gradnje rovova previsoki za učinkovitog operatora čija se troškovi u mreži modeliraju te ih je HAKOM korigirao. Međutim, to prema mišljenju HAKOM-a nema utjecaj na izračun parametra </w:t>
            </w:r>
            <w:r w:rsidR="009B650C" w:rsidRPr="009B650C">
              <w:rPr>
                <w:rFonts w:asciiTheme="minorHAnsi" w:hAnsiTheme="minorHAnsi" w:cstheme="minorHAnsi"/>
                <w:sz w:val="20"/>
                <w:szCs w:val="20"/>
              </w:rPr>
              <w:t xml:space="preserve">% </w:t>
            </w:r>
            <w:proofErr w:type="spellStart"/>
            <w:r w:rsidR="009B650C" w:rsidRPr="009B650C">
              <w:rPr>
                <w:rFonts w:asciiTheme="minorHAnsi" w:hAnsiTheme="minorHAnsi" w:cstheme="minorHAnsi"/>
                <w:sz w:val="20"/>
                <w:szCs w:val="20"/>
              </w:rPr>
              <w:t>OF</w:t>
            </w:r>
            <w:proofErr w:type="spellEnd"/>
            <w:r w:rsidR="009B650C" w:rsidRPr="009B650C">
              <w:rPr>
                <w:rFonts w:asciiTheme="minorHAnsi" w:hAnsiTheme="minorHAnsi" w:cstheme="minorHAnsi"/>
                <w:sz w:val="20"/>
                <w:szCs w:val="20"/>
              </w:rPr>
              <w:t xml:space="preserve"> </w:t>
            </w:r>
            <w:proofErr w:type="spellStart"/>
            <w:r w:rsidR="009B650C" w:rsidRPr="009B650C">
              <w:rPr>
                <w:rFonts w:asciiTheme="minorHAnsi" w:hAnsiTheme="minorHAnsi" w:cstheme="minorHAnsi"/>
                <w:sz w:val="20"/>
                <w:szCs w:val="20"/>
              </w:rPr>
              <w:t>NON-FULLY</w:t>
            </w:r>
            <w:proofErr w:type="spellEnd"/>
            <w:r w:rsidR="009B650C" w:rsidRPr="009B650C">
              <w:rPr>
                <w:rFonts w:asciiTheme="minorHAnsi" w:hAnsiTheme="minorHAnsi" w:cstheme="minorHAnsi"/>
                <w:sz w:val="20"/>
                <w:szCs w:val="20"/>
              </w:rPr>
              <w:t xml:space="preserve"> </w:t>
            </w:r>
            <w:proofErr w:type="spellStart"/>
            <w:r w:rsidR="009B650C" w:rsidRPr="009B650C">
              <w:rPr>
                <w:rFonts w:asciiTheme="minorHAnsi" w:hAnsiTheme="minorHAnsi" w:cstheme="minorHAnsi"/>
                <w:sz w:val="20"/>
                <w:szCs w:val="20"/>
              </w:rPr>
              <w:t>DEPRECIATED</w:t>
            </w:r>
            <w:proofErr w:type="spellEnd"/>
            <w:r w:rsidR="009B650C" w:rsidRPr="009B650C">
              <w:rPr>
                <w:rFonts w:asciiTheme="minorHAnsi" w:hAnsiTheme="minorHAnsi" w:cstheme="minorHAnsi"/>
                <w:sz w:val="20"/>
                <w:szCs w:val="20"/>
              </w:rPr>
              <w:t xml:space="preserve"> </w:t>
            </w:r>
            <w:proofErr w:type="spellStart"/>
            <w:r w:rsidR="009B650C" w:rsidRPr="009B650C">
              <w:rPr>
                <w:rFonts w:asciiTheme="minorHAnsi" w:hAnsiTheme="minorHAnsi" w:cstheme="minorHAnsi"/>
                <w:sz w:val="20"/>
                <w:szCs w:val="20"/>
              </w:rPr>
              <w:t>ASSETS</w:t>
            </w:r>
            <w:proofErr w:type="spellEnd"/>
            <w:r w:rsidR="009B650C">
              <w:rPr>
                <w:rFonts w:asciiTheme="minorHAnsi" w:hAnsiTheme="minorHAnsi" w:cstheme="minorHAnsi"/>
                <w:sz w:val="20"/>
                <w:szCs w:val="20"/>
              </w:rPr>
              <w:t>.</w:t>
            </w:r>
          </w:p>
          <w:p w14:paraId="0F141208" w14:textId="77777777" w:rsidR="00955CEB" w:rsidRDefault="00955CEB" w:rsidP="00C14C99">
            <w:pPr>
              <w:ind w:left="39"/>
              <w:jc w:val="both"/>
              <w:rPr>
                <w:rFonts w:asciiTheme="minorHAnsi" w:hAnsiTheme="minorHAnsi" w:cstheme="minorHAnsi"/>
                <w:sz w:val="20"/>
                <w:szCs w:val="20"/>
              </w:rPr>
            </w:pPr>
          </w:p>
          <w:p w14:paraId="530AAFAF" w14:textId="77777777" w:rsidR="00955CEB" w:rsidRDefault="00955CEB" w:rsidP="00C14C99">
            <w:pPr>
              <w:ind w:left="39"/>
              <w:jc w:val="both"/>
              <w:rPr>
                <w:rFonts w:asciiTheme="minorHAnsi" w:hAnsiTheme="minorHAnsi" w:cstheme="minorHAnsi"/>
                <w:sz w:val="20"/>
                <w:szCs w:val="20"/>
              </w:rPr>
            </w:pPr>
          </w:p>
          <w:p w14:paraId="0BC024DE" w14:textId="77777777" w:rsidR="00955CEB" w:rsidRDefault="00955CEB" w:rsidP="00C14C99">
            <w:pPr>
              <w:ind w:left="39"/>
              <w:jc w:val="both"/>
              <w:rPr>
                <w:rFonts w:asciiTheme="minorHAnsi" w:hAnsiTheme="minorHAnsi" w:cstheme="minorHAnsi"/>
                <w:sz w:val="20"/>
                <w:szCs w:val="20"/>
              </w:rPr>
            </w:pPr>
          </w:p>
          <w:p w14:paraId="697D12EA" w14:textId="77777777" w:rsidR="00955CEB" w:rsidRDefault="00955CEB" w:rsidP="00C14C99">
            <w:pPr>
              <w:ind w:left="39"/>
              <w:jc w:val="both"/>
              <w:rPr>
                <w:rFonts w:asciiTheme="minorHAnsi" w:hAnsiTheme="minorHAnsi" w:cstheme="minorHAnsi"/>
                <w:sz w:val="20"/>
                <w:szCs w:val="20"/>
              </w:rPr>
            </w:pPr>
          </w:p>
          <w:p w14:paraId="1F8C98B9" w14:textId="77777777" w:rsidR="00955CEB" w:rsidRDefault="00955CEB" w:rsidP="00C14C99">
            <w:pPr>
              <w:ind w:left="39"/>
              <w:jc w:val="both"/>
              <w:rPr>
                <w:rFonts w:asciiTheme="minorHAnsi" w:hAnsiTheme="minorHAnsi" w:cstheme="minorHAnsi"/>
                <w:sz w:val="20"/>
                <w:szCs w:val="20"/>
              </w:rPr>
            </w:pPr>
          </w:p>
          <w:p w14:paraId="44E9A173" w14:textId="77777777" w:rsidR="00955CEB" w:rsidRDefault="00955CEB" w:rsidP="00C14C99">
            <w:pPr>
              <w:ind w:left="39"/>
              <w:jc w:val="both"/>
              <w:rPr>
                <w:rFonts w:asciiTheme="minorHAnsi" w:hAnsiTheme="minorHAnsi" w:cstheme="minorHAnsi"/>
                <w:sz w:val="20"/>
                <w:szCs w:val="20"/>
              </w:rPr>
            </w:pPr>
          </w:p>
          <w:p w14:paraId="0E2802DE" w14:textId="77777777" w:rsidR="00955CEB" w:rsidRDefault="00955CEB" w:rsidP="00C14C99">
            <w:pPr>
              <w:ind w:left="39"/>
              <w:jc w:val="both"/>
              <w:rPr>
                <w:rFonts w:asciiTheme="minorHAnsi" w:hAnsiTheme="minorHAnsi" w:cstheme="minorHAnsi"/>
                <w:sz w:val="20"/>
                <w:szCs w:val="20"/>
              </w:rPr>
            </w:pPr>
          </w:p>
          <w:p w14:paraId="6ADBFBE2" w14:textId="5F3C7D77" w:rsidR="00955CEB" w:rsidRDefault="009B650C" w:rsidP="00C14C99">
            <w:pPr>
              <w:ind w:left="39"/>
              <w:jc w:val="both"/>
              <w:rPr>
                <w:rFonts w:asciiTheme="minorHAnsi" w:hAnsiTheme="minorHAnsi" w:cstheme="minorHAnsi"/>
                <w:sz w:val="20"/>
                <w:szCs w:val="20"/>
              </w:rPr>
            </w:pPr>
            <w:r>
              <w:rPr>
                <w:rFonts w:asciiTheme="minorHAnsi" w:hAnsiTheme="minorHAnsi" w:cstheme="minorHAnsi"/>
                <w:sz w:val="20"/>
                <w:szCs w:val="20"/>
              </w:rPr>
              <w:t xml:space="preserve">Kao što je HAKOM već naveo u odgovorima na prethodne komentare, cilj postupka ažuriranja troškovnog modela je ažurirati parametre koji su se promijenili od inicijalne izrade troškovnog modela pri čemu se </w:t>
            </w:r>
            <w:r w:rsidR="003B4365">
              <w:rPr>
                <w:rFonts w:asciiTheme="minorHAnsi" w:hAnsiTheme="minorHAnsi" w:cstheme="minorHAnsi"/>
                <w:sz w:val="20"/>
                <w:szCs w:val="20"/>
              </w:rPr>
              <w:t>pretpostavke u modelu neće mijenjati. Dakle, parametra „</w:t>
            </w:r>
            <w:proofErr w:type="spellStart"/>
            <w:r w:rsidR="003B4365">
              <w:rPr>
                <w:rFonts w:asciiTheme="minorHAnsi" w:hAnsiTheme="minorHAnsi" w:cstheme="minorHAnsi"/>
                <w:sz w:val="20"/>
                <w:szCs w:val="20"/>
              </w:rPr>
              <w:t>Useful</w:t>
            </w:r>
            <w:proofErr w:type="spellEnd"/>
            <w:r w:rsidR="003B4365">
              <w:rPr>
                <w:rFonts w:asciiTheme="minorHAnsi" w:hAnsiTheme="minorHAnsi" w:cstheme="minorHAnsi"/>
                <w:sz w:val="20"/>
                <w:szCs w:val="20"/>
              </w:rPr>
              <w:t xml:space="preserve"> </w:t>
            </w:r>
            <w:proofErr w:type="spellStart"/>
            <w:r w:rsidR="003B4365">
              <w:rPr>
                <w:rFonts w:asciiTheme="minorHAnsi" w:hAnsiTheme="minorHAnsi" w:cstheme="minorHAnsi"/>
                <w:sz w:val="20"/>
                <w:szCs w:val="20"/>
              </w:rPr>
              <w:t>lives</w:t>
            </w:r>
            <w:proofErr w:type="spellEnd"/>
            <w:r w:rsidR="003B4365">
              <w:rPr>
                <w:rFonts w:asciiTheme="minorHAnsi" w:hAnsiTheme="minorHAnsi" w:cstheme="minorHAnsi"/>
                <w:sz w:val="20"/>
                <w:szCs w:val="20"/>
              </w:rPr>
              <w:t>“ resursa u modelu, pa i rovova</w:t>
            </w:r>
            <w:r w:rsidR="006F10AB">
              <w:rPr>
                <w:rFonts w:asciiTheme="minorHAnsi" w:hAnsiTheme="minorHAnsi" w:cstheme="minorHAnsi"/>
                <w:sz w:val="20"/>
                <w:szCs w:val="20"/>
              </w:rPr>
              <w:t xml:space="preserve"> </w:t>
            </w:r>
            <w:r w:rsidR="003B4365">
              <w:rPr>
                <w:rFonts w:asciiTheme="minorHAnsi" w:hAnsiTheme="minorHAnsi" w:cstheme="minorHAnsi"/>
                <w:sz w:val="20"/>
                <w:szCs w:val="20"/>
              </w:rPr>
              <w:t xml:space="preserve">s cijevima, se nije promijenio u prethodne tri godine i stog ga HAKOM nije ažurirao. HAKOM ističe da se u modelu mora odražavati tehnički životni vijek imovine, a ne nužno životni vijek koji se koristi u zakonskim izračunima za financijske svrhe. </w:t>
            </w:r>
          </w:p>
          <w:p w14:paraId="533CB3F1" w14:textId="77777777" w:rsidR="00955CEB" w:rsidRDefault="00955CEB" w:rsidP="00C14C99">
            <w:pPr>
              <w:ind w:left="39"/>
              <w:jc w:val="both"/>
              <w:rPr>
                <w:rFonts w:asciiTheme="minorHAnsi" w:hAnsiTheme="minorHAnsi" w:cstheme="minorHAnsi"/>
                <w:sz w:val="20"/>
                <w:szCs w:val="20"/>
              </w:rPr>
            </w:pPr>
          </w:p>
          <w:p w14:paraId="2D4C53FF" w14:textId="77777777" w:rsidR="00955CEB" w:rsidRDefault="00955CEB" w:rsidP="00C14C99">
            <w:pPr>
              <w:ind w:left="39"/>
              <w:jc w:val="both"/>
              <w:rPr>
                <w:rFonts w:asciiTheme="minorHAnsi" w:hAnsiTheme="minorHAnsi" w:cstheme="minorHAnsi"/>
                <w:sz w:val="20"/>
                <w:szCs w:val="20"/>
              </w:rPr>
            </w:pPr>
          </w:p>
          <w:p w14:paraId="19409D4C" w14:textId="77777777" w:rsidR="00955CEB" w:rsidRDefault="00955CEB" w:rsidP="00C14C99">
            <w:pPr>
              <w:ind w:left="39"/>
              <w:jc w:val="both"/>
              <w:rPr>
                <w:rFonts w:asciiTheme="minorHAnsi" w:hAnsiTheme="minorHAnsi" w:cstheme="minorHAnsi"/>
                <w:sz w:val="20"/>
                <w:szCs w:val="20"/>
              </w:rPr>
            </w:pPr>
          </w:p>
          <w:p w14:paraId="229C9CAD" w14:textId="77777777" w:rsidR="00955CEB" w:rsidRDefault="00955CEB" w:rsidP="00C14C99">
            <w:pPr>
              <w:ind w:left="39"/>
              <w:jc w:val="both"/>
              <w:rPr>
                <w:rFonts w:asciiTheme="minorHAnsi" w:hAnsiTheme="minorHAnsi" w:cstheme="minorHAnsi"/>
                <w:sz w:val="20"/>
                <w:szCs w:val="20"/>
              </w:rPr>
            </w:pPr>
          </w:p>
          <w:p w14:paraId="5AE0C179" w14:textId="77777777" w:rsidR="00955CEB" w:rsidRDefault="00955CEB" w:rsidP="00C14C99">
            <w:pPr>
              <w:ind w:left="39"/>
              <w:jc w:val="both"/>
              <w:rPr>
                <w:rFonts w:asciiTheme="minorHAnsi" w:hAnsiTheme="minorHAnsi" w:cstheme="minorHAnsi"/>
                <w:sz w:val="20"/>
                <w:szCs w:val="20"/>
              </w:rPr>
            </w:pPr>
          </w:p>
          <w:p w14:paraId="76C1AD01" w14:textId="77777777" w:rsidR="00955CEB" w:rsidRDefault="00955CEB" w:rsidP="00C14C99">
            <w:pPr>
              <w:ind w:left="39"/>
              <w:jc w:val="both"/>
              <w:rPr>
                <w:rFonts w:asciiTheme="minorHAnsi" w:hAnsiTheme="minorHAnsi" w:cstheme="minorHAnsi"/>
                <w:sz w:val="20"/>
                <w:szCs w:val="20"/>
              </w:rPr>
            </w:pPr>
          </w:p>
          <w:p w14:paraId="3500CEC9" w14:textId="77777777" w:rsidR="00955CEB" w:rsidRDefault="00955CEB" w:rsidP="00C14C99">
            <w:pPr>
              <w:ind w:left="39"/>
              <w:jc w:val="both"/>
              <w:rPr>
                <w:rFonts w:asciiTheme="minorHAnsi" w:hAnsiTheme="minorHAnsi" w:cstheme="minorHAnsi"/>
                <w:sz w:val="20"/>
                <w:szCs w:val="20"/>
              </w:rPr>
            </w:pPr>
          </w:p>
          <w:p w14:paraId="6EFEE9A9" w14:textId="77777777" w:rsidR="00955CEB" w:rsidRDefault="00955CEB" w:rsidP="00C14C99">
            <w:pPr>
              <w:ind w:left="39"/>
              <w:jc w:val="both"/>
              <w:rPr>
                <w:rFonts w:asciiTheme="minorHAnsi" w:hAnsiTheme="minorHAnsi" w:cstheme="minorHAnsi"/>
                <w:sz w:val="20"/>
                <w:szCs w:val="20"/>
              </w:rPr>
            </w:pPr>
          </w:p>
          <w:p w14:paraId="68F55E45" w14:textId="77777777" w:rsidR="00955CEB" w:rsidRDefault="00955CEB" w:rsidP="00C14C99">
            <w:pPr>
              <w:ind w:left="39"/>
              <w:jc w:val="both"/>
              <w:rPr>
                <w:rFonts w:asciiTheme="minorHAnsi" w:hAnsiTheme="minorHAnsi" w:cstheme="minorHAnsi"/>
                <w:sz w:val="20"/>
                <w:szCs w:val="20"/>
              </w:rPr>
            </w:pPr>
          </w:p>
          <w:p w14:paraId="0BD989E3" w14:textId="77777777" w:rsidR="00955CEB" w:rsidRDefault="00955CEB" w:rsidP="00C14C99">
            <w:pPr>
              <w:ind w:left="39"/>
              <w:jc w:val="both"/>
              <w:rPr>
                <w:rFonts w:asciiTheme="minorHAnsi" w:hAnsiTheme="minorHAnsi" w:cstheme="minorHAnsi"/>
                <w:sz w:val="20"/>
                <w:szCs w:val="20"/>
              </w:rPr>
            </w:pPr>
          </w:p>
          <w:p w14:paraId="32873F3A" w14:textId="77777777" w:rsidR="00955CEB" w:rsidRDefault="00955CEB" w:rsidP="00C14C99">
            <w:pPr>
              <w:ind w:left="39"/>
              <w:jc w:val="both"/>
              <w:rPr>
                <w:rFonts w:asciiTheme="minorHAnsi" w:hAnsiTheme="minorHAnsi" w:cstheme="minorHAnsi"/>
                <w:sz w:val="20"/>
                <w:szCs w:val="20"/>
              </w:rPr>
            </w:pPr>
          </w:p>
          <w:p w14:paraId="77C06281" w14:textId="77777777" w:rsidR="00955CEB" w:rsidRDefault="00955CEB" w:rsidP="00C14C99">
            <w:pPr>
              <w:ind w:left="39"/>
              <w:jc w:val="both"/>
              <w:rPr>
                <w:rFonts w:asciiTheme="minorHAnsi" w:hAnsiTheme="minorHAnsi" w:cstheme="minorHAnsi"/>
                <w:sz w:val="20"/>
                <w:szCs w:val="20"/>
              </w:rPr>
            </w:pPr>
          </w:p>
          <w:p w14:paraId="7717B196" w14:textId="77777777" w:rsidR="00955CEB" w:rsidRDefault="00955CEB" w:rsidP="00C14C99">
            <w:pPr>
              <w:ind w:left="39"/>
              <w:jc w:val="both"/>
              <w:rPr>
                <w:rFonts w:asciiTheme="minorHAnsi" w:hAnsiTheme="minorHAnsi" w:cstheme="minorHAnsi"/>
                <w:sz w:val="20"/>
                <w:szCs w:val="20"/>
              </w:rPr>
            </w:pPr>
          </w:p>
          <w:p w14:paraId="7B92F088" w14:textId="77777777" w:rsidR="00955CEB" w:rsidRDefault="00955CEB" w:rsidP="00C14C99">
            <w:pPr>
              <w:ind w:left="39"/>
              <w:jc w:val="both"/>
              <w:rPr>
                <w:rFonts w:asciiTheme="minorHAnsi" w:hAnsiTheme="minorHAnsi" w:cstheme="minorHAnsi"/>
                <w:sz w:val="20"/>
                <w:szCs w:val="20"/>
              </w:rPr>
            </w:pPr>
          </w:p>
          <w:p w14:paraId="6CB15B71" w14:textId="77777777" w:rsidR="00955CEB" w:rsidRDefault="00955CEB" w:rsidP="00C14C99">
            <w:pPr>
              <w:ind w:left="39"/>
              <w:jc w:val="both"/>
              <w:rPr>
                <w:rFonts w:asciiTheme="minorHAnsi" w:hAnsiTheme="minorHAnsi" w:cstheme="minorHAnsi"/>
                <w:sz w:val="20"/>
                <w:szCs w:val="20"/>
              </w:rPr>
            </w:pPr>
          </w:p>
          <w:p w14:paraId="09F20956" w14:textId="77777777" w:rsidR="00955CEB" w:rsidRDefault="00955CEB" w:rsidP="00C14C99">
            <w:pPr>
              <w:ind w:left="39"/>
              <w:jc w:val="both"/>
              <w:rPr>
                <w:rFonts w:asciiTheme="minorHAnsi" w:hAnsiTheme="minorHAnsi" w:cstheme="minorHAnsi"/>
                <w:sz w:val="20"/>
                <w:szCs w:val="20"/>
              </w:rPr>
            </w:pPr>
          </w:p>
          <w:p w14:paraId="059A6233" w14:textId="77777777" w:rsidR="00955CEB" w:rsidRDefault="00955CEB" w:rsidP="00C14C99">
            <w:pPr>
              <w:ind w:left="39"/>
              <w:jc w:val="both"/>
              <w:rPr>
                <w:rFonts w:asciiTheme="minorHAnsi" w:hAnsiTheme="minorHAnsi" w:cstheme="minorHAnsi"/>
                <w:sz w:val="20"/>
                <w:szCs w:val="20"/>
              </w:rPr>
            </w:pPr>
          </w:p>
          <w:p w14:paraId="468A2671" w14:textId="77777777" w:rsidR="00955CEB" w:rsidRDefault="00955CEB" w:rsidP="00C14C99">
            <w:pPr>
              <w:ind w:left="39"/>
              <w:jc w:val="both"/>
              <w:rPr>
                <w:rFonts w:asciiTheme="minorHAnsi" w:hAnsiTheme="minorHAnsi" w:cstheme="minorHAnsi"/>
                <w:sz w:val="20"/>
                <w:szCs w:val="20"/>
              </w:rPr>
            </w:pPr>
          </w:p>
          <w:p w14:paraId="51386050" w14:textId="77777777" w:rsidR="00955CEB" w:rsidRDefault="00955CEB" w:rsidP="00C14C99">
            <w:pPr>
              <w:ind w:left="39"/>
              <w:jc w:val="both"/>
              <w:rPr>
                <w:rFonts w:asciiTheme="minorHAnsi" w:hAnsiTheme="minorHAnsi" w:cstheme="minorHAnsi"/>
                <w:sz w:val="20"/>
                <w:szCs w:val="20"/>
              </w:rPr>
            </w:pPr>
          </w:p>
          <w:p w14:paraId="4948EB4F" w14:textId="77777777" w:rsidR="00955CEB" w:rsidRDefault="00955CEB" w:rsidP="00C14C99">
            <w:pPr>
              <w:ind w:left="39"/>
              <w:jc w:val="both"/>
              <w:rPr>
                <w:rFonts w:asciiTheme="minorHAnsi" w:hAnsiTheme="minorHAnsi" w:cstheme="minorHAnsi"/>
                <w:sz w:val="20"/>
                <w:szCs w:val="20"/>
              </w:rPr>
            </w:pPr>
          </w:p>
          <w:p w14:paraId="6909FAB4" w14:textId="77777777" w:rsidR="00955CEB" w:rsidRDefault="00955CEB" w:rsidP="00C14C99">
            <w:pPr>
              <w:ind w:left="39"/>
              <w:jc w:val="both"/>
              <w:rPr>
                <w:rFonts w:asciiTheme="minorHAnsi" w:hAnsiTheme="minorHAnsi" w:cstheme="minorHAnsi"/>
                <w:sz w:val="20"/>
                <w:szCs w:val="20"/>
              </w:rPr>
            </w:pPr>
          </w:p>
          <w:p w14:paraId="4AACA7DE" w14:textId="77777777" w:rsidR="00955CEB" w:rsidRDefault="00955CEB" w:rsidP="00C14C99">
            <w:pPr>
              <w:ind w:left="39"/>
              <w:jc w:val="both"/>
              <w:rPr>
                <w:rFonts w:asciiTheme="minorHAnsi" w:hAnsiTheme="minorHAnsi" w:cstheme="minorHAnsi"/>
                <w:sz w:val="20"/>
                <w:szCs w:val="20"/>
              </w:rPr>
            </w:pPr>
          </w:p>
          <w:p w14:paraId="69BEE3CC" w14:textId="77777777" w:rsidR="00955CEB" w:rsidRDefault="00955CEB" w:rsidP="00C14C99">
            <w:pPr>
              <w:ind w:left="39"/>
              <w:jc w:val="both"/>
              <w:rPr>
                <w:rFonts w:asciiTheme="minorHAnsi" w:hAnsiTheme="minorHAnsi" w:cstheme="minorHAnsi"/>
                <w:sz w:val="20"/>
                <w:szCs w:val="20"/>
              </w:rPr>
            </w:pPr>
          </w:p>
          <w:p w14:paraId="5634AB1E" w14:textId="77777777" w:rsidR="00955CEB" w:rsidRDefault="00955CEB" w:rsidP="00C14C99">
            <w:pPr>
              <w:ind w:left="39"/>
              <w:jc w:val="both"/>
              <w:rPr>
                <w:rFonts w:asciiTheme="minorHAnsi" w:hAnsiTheme="minorHAnsi" w:cstheme="minorHAnsi"/>
                <w:sz w:val="20"/>
                <w:szCs w:val="20"/>
              </w:rPr>
            </w:pPr>
          </w:p>
          <w:p w14:paraId="7F1F5F16" w14:textId="77777777" w:rsidR="00955CEB" w:rsidRDefault="00955CEB" w:rsidP="00C14C99">
            <w:pPr>
              <w:ind w:left="39"/>
              <w:jc w:val="both"/>
              <w:rPr>
                <w:rFonts w:asciiTheme="minorHAnsi" w:hAnsiTheme="minorHAnsi" w:cstheme="minorHAnsi"/>
                <w:sz w:val="20"/>
                <w:szCs w:val="20"/>
              </w:rPr>
            </w:pPr>
          </w:p>
          <w:p w14:paraId="7B1A1FBB" w14:textId="77777777" w:rsidR="00955CEB" w:rsidRDefault="00955CEB" w:rsidP="00C14C99">
            <w:pPr>
              <w:ind w:left="39"/>
              <w:jc w:val="both"/>
              <w:rPr>
                <w:rFonts w:asciiTheme="minorHAnsi" w:hAnsiTheme="minorHAnsi" w:cstheme="minorHAnsi"/>
                <w:sz w:val="20"/>
                <w:szCs w:val="20"/>
              </w:rPr>
            </w:pPr>
          </w:p>
          <w:p w14:paraId="559DFF81" w14:textId="77777777" w:rsidR="00955CEB" w:rsidRDefault="00955CEB" w:rsidP="00C14C99">
            <w:pPr>
              <w:ind w:left="39"/>
              <w:jc w:val="both"/>
              <w:rPr>
                <w:rFonts w:asciiTheme="minorHAnsi" w:hAnsiTheme="minorHAnsi" w:cstheme="minorHAnsi"/>
                <w:sz w:val="20"/>
                <w:szCs w:val="20"/>
              </w:rPr>
            </w:pPr>
          </w:p>
          <w:p w14:paraId="65E98E35" w14:textId="77777777" w:rsidR="00955CEB" w:rsidRDefault="00955CEB" w:rsidP="00C14C99">
            <w:pPr>
              <w:ind w:left="39"/>
              <w:jc w:val="both"/>
              <w:rPr>
                <w:rFonts w:asciiTheme="minorHAnsi" w:hAnsiTheme="minorHAnsi" w:cstheme="minorHAnsi"/>
                <w:sz w:val="20"/>
                <w:szCs w:val="20"/>
              </w:rPr>
            </w:pPr>
          </w:p>
          <w:p w14:paraId="07E5B092" w14:textId="77777777" w:rsidR="00955CEB" w:rsidRDefault="00955CEB" w:rsidP="00C14C99">
            <w:pPr>
              <w:ind w:left="39"/>
              <w:jc w:val="both"/>
              <w:rPr>
                <w:rFonts w:asciiTheme="minorHAnsi" w:hAnsiTheme="minorHAnsi" w:cstheme="minorHAnsi"/>
                <w:sz w:val="20"/>
                <w:szCs w:val="20"/>
              </w:rPr>
            </w:pPr>
          </w:p>
          <w:p w14:paraId="191C4C81" w14:textId="77777777" w:rsidR="00955CEB" w:rsidRDefault="00955CEB" w:rsidP="00C14C99">
            <w:pPr>
              <w:ind w:left="39"/>
              <w:jc w:val="both"/>
              <w:rPr>
                <w:rFonts w:asciiTheme="minorHAnsi" w:hAnsiTheme="minorHAnsi" w:cstheme="minorHAnsi"/>
                <w:sz w:val="20"/>
                <w:szCs w:val="20"/>
              </w:rPr>
            </w:pPr>
          </w:p>
          <w:p w14:paraId="354B7895" w14:textId="77777777" w:rsidR="00955CEB" w:rsidRDefault="00955CEB" w:rsidP="00C14C99">
            <w:pPr>
              <w:ind w:left="39"/>
              <w:jc w:val="both"/>
              <w:rPr>
                <w:rFonts w:asciiTheme="minorHAnsi" w:hAnsiTheme="minorHAnsi" w:cstheme="minorHAnsi"/>
                <w:sz w:val="20"/>
                <w:szCs w:val="20"/>
              </w:rPr>
            </w:pPr>
          </w:p>
          <w:p w14:paraId="36E94085" w14:textId="77777777" w:rsidR="00955CEB" w:rsidRDefault="00955CEB" w:rsidP="00C14C99">
            <w:pPr>
              <w:ind w:left="39"/>
              <w:jc w:val="both"/>
              <w:rPr>
                <w:rFonts w:asciiTheme="minorHAnsi" w:hAnsiTheme="minorHAnsi" w:cstheme="minorHAnsi"/>
                <w:sz w:val="20"/>
                <w:szCs w:val="20"/>
              </w:rPr>
            </w:pPr>
          </w:p>
          <w:p w14:paraId="2075B253" w14:textId="77777777" w:rsidR="00955CEB" w:rsidRDefault="00955CEB" w:rsidP="00C14C99">
            <w:pPr>
              <w:ind w:left="39"/>
              <w:jc w:val="both"/>
              <w:rPr>
                <w:rFonts w:asciiTheme="minorHAnsi" w:hAnsiTheme="minorHAnsi" w:cstheme="minorHAnsi"/>
                <w:sz w:val="20"/>
                <w:szCs w:val="20"/>
              </w:rPr>
            </w:pPr>
          </w:p>
          <w:p w14:paraId="16B02350" w14:textId="77777777" w:rsidR="00955CEB" w:rsidRDefault="00955CEB" w:rsidP="00C14C99">
            <w:pPr>
              <w:ind w:left="39"/>
              <w:jc w:val="both"/>
              <w:rPr>
                <w:rFonts w:asciiTheme="minorHAnsi" w:hAnsiTheme="minorHAnsi" w:cstheme="minorHAnsi"/>
                <w:sz w:val="20"/>
                <w:szCs w:val="20"/>
              </w:rPr>
            </w:pPr>
          </w:p>
          <w:p w14:paraId="008840DC" w14:textId="77777777" w:rsidR="00955CEB" w:rsidRDefault="00955CEB" w:rsidP="00C14C99">
            <w:pPr>
              <w:ind w:left="39"/>
              <w:jc w:val="both"/>
              <w:rPr>
                <w:rFonts w:asciiTheme="minorHAnsi" w:hAnsiTheme="minorHAnsi" w:cstheme="minorHAnsi"/>
                <w:sz w:val="20"/>
                <w:szCs w:val="20"/>
              </w:rPr>
            </w:pPr>
          </w:p>
          <w:p w14:paraId="4C12D70E" w14:textId="77777777" w:rsidR="00955CEB" w:rsidRDefault="00955CEB" w:rsidP="00C14C99">
            <w:pPr>
              <w:ind w:left="39"/>
              <w:jc w:val="both"/>
              <w:rPr>
                <w:rFonts w:asciiTheme="minorHAnsi" w:hAnsiTheme="minorHAnsi" w:cstheme="minorHAnsi"/>
                <w:sz w:val="20"/>
                <w:szCs w:val="20"/>
              </w:rPr>
            </w:pPr>
          </w:p>
          <w:p w14:paraId="58A5DB3B" w14:textId="77777777" w:rsidR="00955CEB" w:rsidRDefault="00955CEB" w:rsidP="00C14C99">
            <w:pPr>
              <w:ind w:left="39"/>
              <w:jc w:val="both"/>
              <w:rPr>
                <w:rFonts w:asciiTheme="minorHAnsi" w:hAnsiTheme="minorHAnsi" w:cstheme="minorHAnsi"/>
                <w:sz w:val="20"/>
                <w:szCs w:val="20"/>
              </w:rPr>
            </w:pPr>
          </w:p>
          <w:p w14:paraId="7934B099" w14:textId="77777777" w:rsidR="00955CEB" w:rsidRDefault="00955CEB" w:rsidP="00C14C99">
            <w:pPr>
              <w:ind w:left="39"/>
              <w:jc w:val="both"/>
              <w:rPr>
                <w:rFonts w:asciiTheme="minorHAnsi" w:hAnsiTheme="minorHAnsi" w:cstheme="minorHAnsi"/>
                <w:sz w:val="20"/>
                <w:szCs w:val="20"/>
              </w:rPr>
            </w:pPr>
          </w:p>
          <w:p w14:paraId="1B55AEBF" w14:textId="77777777" w:rsidR="00955CEB" w:rsidRDefault="00955CEB" w:rsidP="00C14C99">
            <w:pPr>
              <w:ind w:left="39"/>
              <w:jc w:val="both"/>
              <w:rPr>
                <w:rFonts w:asciiTheme="minorHAnsi" w:hAnsiTheme="minorHAnsi" w:cstheme="minorHAnsi"/>
                <w:sz w:val="20"/>
                <w:szCs w:val="20"/>
              </w:rPr>
            </w:pPr>
          </w:p>
          <w:p w14:paraId="0D0BCE85" w14:textId="77777777" w:rsidR="00955CEB" w:rsidRDefault="00955CEB" w:rsidP="00C14C99">
            <w:pPr>
              <w:ind w:left="39"/>
              <w:jc w:val="both"/>
              <w:rPr>
                <w:rFonts w:asciiTheme="minorHAnsi" w:hAnsiTheme="minorHAnsi" w:cstheme="minorHAnsi"/>
                <w:sz w:val="20"/>
                <w:szCs w:val="20"/>
              </w:rPr>
            </w:pPr>
          </w:p>
          <w:p w14:paraId="2CC9B16A" w14:textId="77777777" w:rsidR="00955CEB" w:rsidRDefault="00955CEB" w:rsidP="00C14C99">
            <w:pPr>
              <w:ind w:left="39"/>
              <w:jc w:val="both"/>
              <w:rPr>
                <w:rFonts w:asciiTheme="minorHAnsi" w:hAnsiTheme="minorHAnsi" w:cstheme="minorHAnsi"/>
                <w:sz w:val="20"/>
                <w:szCs w:val="20"/>
              </w:rPr>
            </w:pPr>
          </w:p>
          <w:p w14:paraId="057A2F5A" w14:textId="77777777" w:rsidR="00955CEB" w:rsidRDefault="00955CEB" w:rsidP="00C14C99">
            <w:pPr>
              <w:ind w:left="39"/>
              <w:jc w:val="both"/>
              <w:rPr>
                <w:rFonts w:asciiTheme="minorHAnsi" w:hAnsiTheme="minorHAnsi" w:cstheme="minorHAnsi"/>
                <w:sz w:val="20"/>
                <w:szCs w:val="20"/>
              </w:rPr>
            </w:pPr>
            <w:bookmarkStart w:id="0" w:name="_GoBack"/>
            <w:bookmarkEnd w:id="0"/>
          </w:p>
          <w:p w14:paraId="192F38EC" w14:textId="77777777" w:rsidR="00955CEB" w:rsidRDefault="00955CEB" w:rsidP="00C14C99">
            <w:pPr>
              <w:ind w:left="39"/>
              <w:jc w:val="both"/>
              <w:rPr>
                <w:rFonts w:asciiTheme="minorHAnsi" w:hAnsiTheme="minorHAnsi" w:cstheme="minorHAnsi"/>
                <w:sz w:val="20"/>
                <w:szCs w:val="20"/>
              </w:rPr>
            </w:pPr>
          </w:p>
          <w:p w14:paraId="41C73651" w14:textId="77777777" w:rsidR="00955CEB" w:rsidRDefault="00955CEB" w:rsidP="00C14C99">
            <w:pPr>
              <w:ind w:left="39"/>
              <w:jc w:val="both"/>
              <w:rPr>
                <w:rFonts w:asciiTheme="minorHAnsi" w:hAnsiTheme="minorHAnsi" w:cstheme="minorHAnsi"/>
                <w:sz w:val="20"/>
                <w:szCs w:val="20"/>
              </w:rPr>
            </w:pPr>
          </w:p>
          <w:p w14:paraId="5B59DAA8" w14:textId="2CA7F0A2" w:rsidR="00D9416B" w:rsidRPr="00C14C99" w:rsidRDefault="00D9416B" w:rsidP="00C14C99">
            <w:pPr>
              <w:ind w:left="39"/>
              <w:jc w:val="both"/>
              <w:rPr>
                <w:rFonts w:asciiTheme="minorHAnsi" w:hAnsiTheme="minorHAnsi" w:cstheme="minorHAnsi"/>
                <w:sz w:val="20"/>
                <w:szCs w:val="20"/>
              </w:rPr>
            </w:pPr>
            <w:r w:rsidRPr="00C14C99">
              <w:rPr>
                <w:rFonts w:asciiTheme="minorHAnsi" w:hAnsiTheme="minorHAnsi" w:cstheme="minorHAnsi"/>
                <w:sz w:val="20"/>
                <w:szCs w:val="20"/>
              </w:rPr>
              <w:t xml:space="preserve">Vezano uz komentar HT-a u vezi parametara </w:t>
            </w:r>
            <w:r w:rsidRPr="00D9416B">
              <w:rPr>
                <w:rFonts w:asciiTheme="minorHAnsi" w:hAnsiTheme="minorHAnsi" w:cstheme="minorHAnsi"/>
                <w:b/>
                <w:bCs/>
                <w:sz w:val="20"/>
                <w:szCs w:val="20"/>
                <w:u w:val="single"/>
              </w:rPr>
              <w:t>„</w:t>
            </w:r>
            <w:proofErr w:type="spellStart"/>
            <w:r w:rsidRPr="00D9416B">
              <w:rPr>
                <w:rFonts w:asciiTheme="minorHAnsi" w:hAnsiTheme="minorHAnsi" w:cstheme="minorHAnsi"/>
                <w:b/>
                <w:bCs/>
                <w:sz w:val="20"/>
                <w:szCs w:val="20"/>
                <w:u w:val="single"/>
              </w:rPr>
              <w:t>Number</w:t>
            </w:r>
            <w:proofErr w:type="spellEnd"/>
            <w:r w:rsidRPr="00D9416B">
              <w:rPr>
                <w:rFonts w:asciiTheme="minorHAnsi" w:hAnsiTheme="minorHAnsi" w:cstheme="minorHAnsi"/>
                <w:b/>
                <w:bCs/>
                <w:sz w:val="20"/>
                <w:szCs w:val="20"/>
                <w:u w:val="single"/>
              </w:rPr>
              <w:t xml:space="preserve"> </w:t>
            </w:r>
            <w:proofErr w:type="spellStart"/>
            <w:r w:rsidRPr="00D9416B">
              <w:rPr>
                <w:rFonts w:asciiTheme="minorHAnsi" w:hAnsiTheme="minorHAnsi" w:cstheme="minorHAnsi"/>
                <w:b/>
                <w:bCs/>
                <w:sz w:val="20"/>
                <w:szCs w:val="20"/>
                <w:u w:val="single"/>
              </w:rPr>
              <w:t>of</w:t>
            </w:r>
            <w:proofErr w:type="spellEnd"/>
            <w:r w:rsidRPr="00D9416B">
              <w:rPr>
                <w:rFonts w:asciiTheme="minorHAnsi" w:hAnsiTheme="minorHAnsi" w:cstheme="minorHAnsi"/>
                <w:b/>
                <w:bCs/>
                <w:sz w:val="20"/>
                <w:szCs w:val="20"/>
                <w:u w:val="single"/>
              </w:rPr>
              <w:t xml:space="preserve"> </w:t>
            </w:r>
            <w:proofErr w:type="spellStart"/>
            <w:r w:rsidRPr="00D9416B">
              <w:rPr>
                <w:rFonts w:asciiTheme="minorHAnsi" w:hAnsiTheme="minorHAnsi" w:cstheme="minorHAnsi"/>
                <w:b/>
                <w:bCs/>
                <w:sz w:val="20"/>
                <w:szCs w:val="20"/>
                <w:u w:val="single"/>
              </w:rPr>
              <w:t>hubs</w:t>
            </w:r>
            <w:proofErr w:type="spellEnd"/>
            <w:r w:rsidRPr="00D9416B">
              <w:rPr>
                <w:rFonts w:asciiTheme="minorHAnsi" w:hAnsiTheme="minorHAnsi" w:cstheme="minorHAnsi"/>
                <w:b/>
                <w:bCs/>
                <w:sz w:val="20"/>
                <w:szCs w:val="20"/>
                <w:u w:val="single"/>
              </w:rPr>
              <w:t xml:space="preserve"> </w:t>
            </w:r>
            <w:proofErr w:type="spellStart"/>
            <w:r w:rsidRPr="00D9416B">
              <w:rPr>
                <w:rFonts w:asciiTheme="minorHAnsi" w:hAnsiTheme="minorHAnsi" w:cstheme="minorHAnsi"/>
                <w:b/>
                <w:bCs/>
                <w:sz w:val="20"/>
                <w:szCs w:val="20"/>
                <w:u w:val="single"/>
              </w:rPr>
              <w:t>employed</w:t>
            </w:r>
            <w:proofErr w:type="spellEnd"/>
            <w:r w:rsidRPr="00D9416B">
              <w:rPr>
                <w:rFonts w:asciiTheme="minorHAnsi" w:hAnsiTheme="minorHAnsi" w:cstheme="minorHAnsi"/>
                <w:b/>
                <w:bCs/>
                <w:sz w:val="20"/>
                <w:szCs w:val="20"/>
                <w:u w:val="single"/>
              </w:rPr>
              <w:t xml:space="preserve"> …“</w:t>
            </w:r>
            <w:r w:rsidRPr="00C14C99">
              <w:rPr>
                <w:rFonts w:asciiTheme="minorHAnsi" w:hAnsiTheme="minorHAnsi" w:cstheme="minorHAnsi"/>
                <w:bCs/>
                <w:sz w:val="20"/>
                <w:szCs w:val="20"/>
                <w:u w:val="single"/>
              </w:rPr>
              <w:t xml:space="preserve">, </w:t>
            </w:r>
            <w:r>
              <w:rPr>
                <w:rFonts w:asciiTheme="minorHAnsi" w:hAnsiTheme="minorHAnsi" w:cstheme="minorHAnsi"/>
                <w:bCs/>
                <w:sz w:val="20"/>
                <w:szCs w:val="20"/>
                <w:u w:val="single"/>
              </w:rPr>
              <w:t>koji su definirani</w:t>
            </w:r>
            <w:r w:rsidRPr="00C14C99">
              <w:rPr>
                <w:rFonts w:asciiTheme="minorHAnsi" w:hAnsiTheme="minorHAnsi" w:cstheme="minorHAnsi"/>
                <w:sz w:val="20"/>
                <w:szCs w:val="20"/>
              </w:rPr>
              <w:t xml:space="preserve"> u </w:t>
            </w:r>
            <w:proofErr w:type="spellStart"/>
            <w:r w:rsidRPr="00C14C99">
              <w:rPr>
                <w:rFonts w:asciiTheme="minorHAnsi" w:hAnsiTheme="minorHAnsi" w:cstheme="minorHAnsi"/>
                <w:sz w:val="20"/>
                <w:szCs w:val="20"/>
              </w:rPr>
              <w:t>retcima</w:t>
            </w:r>
            <w:proofErr w:type="spellEnd"/>
            <w:r w:rsidRPr="00C14C99">
              <w:rPr>
                <w:rFonts w:asciiTheme="minorHAnsi" w:hAnsiTheme="minorHAnsi" w:cstheme="minorHAnsi"/>
                <w:sz w:val="20"/>
                <w:szCs w:val="20"/>
              </w:rPr>
              <w:t xml:space="preserve"> C84:P87 radnog lista „2A </w:t>
            </w:r>
            <w:proofErr w:type="spellStart"/>
            <w:r w:rsidRPr="00C14C99">
              <w:rPr>
                <w:rFonts w:asciiTheme="minorHAnsi" w:hAnsiTheme="minorHAnsi" w:cstheme="minorHAnsi"/>
                <w:sz w:val="20"/>
                <w:szCs w:val="20"/>
              </w:rPr>
              <w:t>INP</w:t>
            </w:r>
            <w:proofErr w:type="spellEnd"/>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NW</w:t>
            </w:r>
            <w:proofErr w:type="spellEnd"/>
            <w:r w:rsidRPr="00C14C99">
              <w:rPr>
                <w:rFonts w:asciiTheme="minorHAnsi" w:hAnsiTheme="minorHAnsi" w:cstheme="minorHAnsi"/>
                <w:sz w:val="20"/>
                <w:szCs w:val="20"/>
              </w:rPr>
              <w:t xml:space="preserve">“ </w:t>
            </w:r>
            <w:proofErr w:type="spellStart"/>
            <w:r w:rsidRPr="00C14C99">
              <w:rPr>
                <w:rFonts w:asciiTheme="minorHAnsi" w:hAnsiTheme="minorHAnsi" w:cstheme="minorHAnsi"/>
                <w:sz w:val="20"/>
                <w:szCs w:val="20"/>
              </w:rPr>
              <w:t>BU-LRIC</w:t>
            </w:r>
            <w:proofErr w:type="spellEnd"/>
            <w:r w:rsidRPr="00C14C99">
              <w:rPr>
                <w:rFonts w:asciiTheme="minorHAnsi" w:hAnsiTheme="minorHAnsi" w:cstheme="minorHAnsi"/>
                <w:sz w:val="20"/>
                <w:szCs w:val="20"/>
              </w:rPr>
              <w:t>+ troškovnog modela</w:t>
            </w:r>
            <w:r>
              <w:rPr>
                <w:rFonts w:asciiTheme="minorHAnsi" w:hAnsiTheme="minorHAnsi" w:cstheme="minorHAnsi"/>
                <w:sz w:val="20"/>
                <w:szCs w:val="20"/>
              </w:rPr>
              <w:t xml:space="preserve"> HAKOM se očituje kako slijedi</w:t>
            </w:r>
            <w:r w:rsidRPr="00C14C99">
              <w:rPr>
                <w:rFonts w:asciiTheme="minorHAnsi" w:hAnsiTheme="minorHAnsi" w:cstheme="minorHAnsi"/>
                <w:sz w:val="20"/>
                <w:szCs w:val="20"/>
              </w:rPr>
              <w:t xml:space="preserve">. Navedeni parametri nisu ažurirani iz jednostavnog razloga jer od izrade trenutno važeće verzije modela nije došlo do promjena u mreži zbog kojih bi takvo ažuriranje bilo potrebno. Nadalje, HAKOM smatra da izmjena navedenih parametara nije stvar ažuriranja modela nego izmjena pretpostavki i algoritama u troškovnom modelu što nije predmet ovoga postupka. I konačno, čak i kada bi takva izmjena bila predmet ovoga postupka, HT nije dao nikakve podatke o prosječnim vrijednostima tih parametara niti predlaže način kako bi se te prosječne vrijednosti odredile. Zbog svega navedenog, HAKOM prijedlog HT-a ne prihvaća te se predmetni parametri neće mijenjati. </w:t>
            </w:r>
          </w:p>
          <w:p w14:paraId="14F92731" w14:textId="77777777" w:rsidR="00132EA6" w:rsidRPr="00C14C99" w:rsidRDefault="00132EA6" w:rsidP="00C14C99">
            <w:pPr>
              <w:ind w:left="39"/>
              <w:jc w:val="both"/>
              <w:rPr>
                <w:rFonts w:asciiTheme="minorHAnsi" w:hAnsiTheme="minorHAnsi" w:cstheme="minorHAnsi"/>
                <w:sz w:val="20"/>
                <w:szCs w:val="20"/>
              </w:rPr>
            </w:pPr>
          </w:p>
        </w:tc>
      </w:tr>
      <w:tr w:rsidR="00132EA6" w:rsidRPr="00CE310D" w14:paraId="22D0FCA3"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41591CC6" w14:textId="426CA64F"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lastRenderedPageBreak/>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AAFD05B" w14:textId="77777777"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A1</w:t>
            </w:r>
          </w:p>
          <w:p w14:paraId="12B1BF2F" w14:textId="24BBFB99" w:rsidR="00132EA6" w:rsidRPr="00CE310D" w:rsidRDefault="00132EA6" w:rsidP="00132EA6">
            <w:pPr>
              <w:rPr>
                <w:rFonts w:asciiTheme="minorHAnsi" w:hAnsiTheme="minorHAnsi" w:cstheme="minorHAnsi"/>
                <w:sz w:val="20"/>
                <w:szCs w:val="20"/>
              </w:rPr>
            </w:pP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8002D17" w14:textId="7FCC5F6F" w:rsidR="00132EA6" w:rsidRPr="00CE310D" w:rsidRDefault="00132EA6" w:rsidP="008E361E">
            <w:pPr>
              <w:jc w:val="both"/>
              <w:rPr>
                <w:rFonts w:asciiTheme="minorHAnsi" w:hAnsiTheme="minorHAnsi" w:cstheme="minorHAnsi"/>
                <w:sz w:val="20"/>
                <w:szCs w:val="20"/>
              </w:rPr>
            </w:pPr>
            <w:r w:rsidRPr="00CE310D">
              <w:rPr>
                <w:rFonts w:asciiTheme="minorHAnsi" w:hAnsiTheme="minorHAnsi" w:cstheme="minorHAnsi"/>
                <w:sz w:val="20"/>
                <w:szCs w:val="20"/>
              </w:rPr>
              <w:t xml:space="preserve">Iako A1 nije zamijetio neke značajne promjene u radnim listovima 2A </w:t>
            </w:r>
            <w:proofErr w:type="spellStart"/>
            <w:r w:rsidRPr="00CE310D">
              <w:rPr>
                <w:rFonts w:asciiTheme="minorHAnsi" w:hAnsiTheme="minorHAnsi" w:cstheme="minorHAnsi"/>
                <w:sz w:val="20"/>
                <w:szCs w:val="20"/>
              </w:rPr>
              <w:t>INP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NW</w:t>
            </w:r>
            <w:proofErr w:type="spellEnd"/>
            <w:r w:rsidRPr="00CE310D">
              <w:rPr>
                <w:rFonts w:asciiTheme="minorHAnsi" w:hAnsiTheme="minorHAnsi" w:cstheme="minorHAnsi"/>
                <w:sz w:val="20"/>
                <w:szCs w:val="20"/>
              </w:rPr>
              <w:t xml:space="preserve"> i 2C </w:t>
            </w:r>
            <w:proofErr w:type="spellStart"/>
            <w:r w:rsidRPr="00CE310D">
              <w:rPr>
                <w:rFonts w:asciiTheme="minorHAnsi" w:hAnsiTheme="minorHAnsi" w:cstheme="minorHAnsi"/>
                <w:sz w:val="20"/>
                <w:szCs w:val="20"/>
              </w:rPr>
              <w:t>INP</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TX</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LINKS</w:t>
            </w:r>
            <w:proofErr w:type="spellEnd"/>
            <w:r w:rsidRPr="00CE310D">
              <w:rPr>
                <w:rFonts w:asciiTheme="minorHAnsi" w:hAnsiTheme="minorHAnsi" w:cstheme="minorHAnsi"/>
                <w:sz w:val="20"/>
                <w:szCs w:val="20"/>
              </w:rPr>
              <w:t>, A1 smatra kako je radi transparentnosti postupka HAKOM trebao točno navesti parametre čije iznose je mijenjao u novoj verziji modela uz kratko pojašnjenje razloga za navedene izmjene.</w:t>
            </w:r>
          </w:p>
        </w:tc>
        <w:tc>
          <w:tcPr>
            <w:tcW w:w="1936" w:type="pct"/>
            <w:tcBorders>
              <w:top w:val="single" w:sz="6" w:space="0" w:color="CCCCCC"/>
              <w:left w:val="single" w:sz="6" w:space="0" w:color="CCCCCC"/>
              <w:bottom w:val="single" w:sz="6" w:space="0" w:color="CCCCCC"/>
              <w:right w:val="single" w:sz="6" w:space="0" w:color="CCCCCC"/>
            </w:tcBorders>
          </w:tcPr>
          <w:p w14:paraId="49CE9BFA" w14:textId="77777777" w:rsidR="00132EA6" w:rsidRPr="00CE310D" w:rsidRDefault="00132EA6" w:rsidP="00132EA6">
            <w:pPr>
              <w:ind w:left="39"/>
              <w:rPr>
                <w:rFonts w:asciiTheme="minorHAnsi" w:hAnsiTheme="minorHAnsi" w:cstheme="minorHAnsi"/>
                <w:b/>
                <w:sz w:val="20"/>
                <w:szCs w:val="20"/>
              </w:rPr>
            </w:pPr>
          </w:p>
          <w:p w14:paraId="1642B0BF" w14:textId="14DC5BC5" w:rsidR="00132EA6" w:rsidRPr="00C14C99" w:rsidRDefault="006C636B" w:rsidP="00132EA6">
            <w:pPr>
              <w:ind w:left="39"/>
              <w:rPr>
                <w:rFonts w:asciiTheme="minorHAnsi" w:hAnsiTheme="minorHAnsi" w:cstheme="minorHAnsi"/>
                <w:sz w:val="20"/>
                <w:szCs w:val="20"/>
              </w:rPr>
            </w:pPr>
            <w:r w:rsidRPr="00C14C99">
              <w:rPr>
                <w:rFonts w:asciiTheme="minorHAnsi" w:hAnsiTheme="minorHAnsi" w:cstheme="minorHAnsi"/>
                <w:sz w:val="20"/>
                <w:szCs w:val="20"/>
              </w:rPr>
              <w:t>HAKOM će u konačnoj verziji izvještaja o ažuriranju Troškovnog modela navesti parametre čije iznose je mijenjao u novoj verziji modela uz kratko pojašnjenje razloga za navedene izmjene.</w:t>
            </w:r>
          </w:p>
          <w:p w14:paraId="17834A95" w14:textId="77777777" w:rsidR="00132EA6" w:rsidRPr="00CE310D" w:rsidRDefault="00132EA6" w:rsidP="00132EA6">
            <w:pPr>
              <w:ind w:left="39"/>
              <w:rPr>
                <w:rFonts w:asciiTheme="minorHAnsi" w:hAnsiTheme="minorHAnsi" w:cstheme="minorHAnsi"/>
                <w:b/>
                <w:sz w:val="20"/>
                <w:szCs w:val="20"/>
              </w:rPr>
            </w:pPr>
          </w:p>
        </w:tc>
      </w:tr>
      <w:tr w:rsidR="00132EA6" w:rsidRPr="00CE310D" w14:paraId="77A46E9D"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4DA6D777" w14:textId="486AF94A"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4A4DC0E" w14:textId="1DCBB631" w:rsidR="00132EA6" w:rsidRPr="00CE310D" w:rsidRDefault="00132EA6" w:rsidP="00132EA6">
            <w:pPr>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39AC72D" w14:textId="27E3CDF8" w:rsidR="00132EA6" w:rsidRPr="00CE310D" w:rsidRDefault="00132EA6" w:rsidP="000C77C7">
            <w:pPr>
              <w:jc w:val="both"/>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kako podržava izvršeno manje smanjenje vrijednosti ne-mrežnih općih troškova u odnosu na iste troškove koje su primijenjene u trenutnom troškovnom modelu, i to osobito Općih i administrativnih troškova (</w:t>
            </w:r>
            <w:proofErr w:type="spellStart"/>
            <w:r w:rsidRPr="00CE310D">
              <w:rPr>
                <w:rFonts w:asciiTheme="minorHAnsi" w:hAnsiTheme="minorHAnsi" w:cstheme="minorHAnsi"/>
                <w:sz w:val="20"/>
                <w:szCs w:val="20"/>
              </w:rPr>
              <w:t>G&amp;A</w:t>
            </w:r>
            <w:proofErr w:type="spellEnd"/>
            <w:r w:rsidRPr="00CE310D">
              <w:rPr>
                <w:rFonts w:asciiTheme="minorHAnsi" w:hAnsiTheme="minorHAnsi" w:cstheme="minorHAnsi"/>
                <w:sz w:val="20"/>
                <w:szCs w:val="20"/>
              </w:rPr>
              <w:t xml:space="preserve"> sada 10,94%, prije 13%) te veleprodajnih specifičnih troškova.</w:t>
            </w:r>
          </w:p>
        </w:tc>
        <w:tc>
          <w:tcPr>
            <w:tcW w:w="1936" w:type="pct"/>
            <w:tcBorders>
              <w:top w:val="single" w:sz="6" w:space="0" w:color="CCCCCC"/>
              <w:left w:val="single" w:sz="6" w:space="0" w:color="CCCCCC"/>
              <w:bottom w:val="single" w:sz="6" w:space="0" w:color="CCCCCC"/>
              <w:right w:val="single" w:sz="6" w:space="0" w:color="CCCCCC"/>
            </w:tcBorders>
          </w:tcPr>
          <w:p w14:paraId="33D7C4C4" w14:textId="56E6A109" w:rsidR="00132EA6" w:rsidRPr="00C14C99" w:rsidRDefault="006C636B" w:rsidP="00132EA6">
            <w:pPr>
              <w:ind w:left="39"/>
              <w:rPr>
                <w:rFonts w:asciiTheme="minorHAnsi" w:hAnsiTheme="minorHAnsi" w:cstheme="minorHAnsi"/>
                <w:sz w:val="20"/>
                <w:szCs w:val="20"/>
              </w:rPr>
            </w:pPr>
            <w:r w:rsidRPr="00C14C99">
              <w:rPr>
                <w:rFonts w:asciiTheme="minorHAnsi" w:hAnsiTheme="minorHAnsi" w:cstheme="minorHAnsi"/>
                <w:sz w:val="20"/>
                <w:szCs w:val="20"/>
              </w:rPr>
              <w:t>Zahvaljujemo na komentaru.</w:t>
            </w:r>
          </w:p>
        </w:tc>
      </w:tr>
      <w:tr w:rsidR="00132EA6" w:rsidRPr="00CE310D" w14:paraId="2A7CBDB8"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10FE97B" w14:textId="6634476A" w:rsidR="00132EA6" w:rsidRPr="00CE310D" w:rsidRDefault="00132EA6" w:rsidP="00132EA6">
            <w:pPr>
              <w:rPr>
                <w:rFonts w:asciiTheme="minorHAnsi" w:hAnsiTheme="minorHAnsi" w:cstheme="minorHAnsi"/>
                <w:b/>
                <w:bCs/>
              </w:rPr>
            </w:pPr>
            <w:r w:rsidRPr="00CE310D">
              <w:rPr>
                <w:rFonts w:asciiTheme="minorHAnsi" w:hAnsiTheme="minorHAnsi" w:cstheme="minorHAnsi"/>
                <w:b/>
                <w:bCs/>
              </w:rPr>
              <w:t xml:space="preserve">Zaprimljeni komentari na pitanje 6: </w:t>
            </w:r>
            <w:r w:rsidRPr="00CE310D">
              <w:rPr>
                <w:rFonts w:asciiTheme="minorHAnsi" w:hAnsiTheme="minorHAnsi" w:cstheme="minorHAnsi"/>
              </w:rPr>
              <w:t>Koje je vaše mišljenje o predloženom načinu izračuna troškova i mjesečnih naknada za najam cijevi kabelske kanalizacije?</w:t>
            </w:r>
          </w:p>
        </w:tc>
      </w:tr>
      <w:tr w:rsidR="00132EA6" w:rsidRPr="001A0327" w14:paraId="3918737A"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AEFAEE0" w14:textId="5C0B599C" w:rsidR="00132EA6" w:rsidRPr="001A0327" w:rsidRDefault="00132EA6" w:rsidP="00132EA6">
            <w:pPr>
              <w:rPr>
                <w:rFonts w:asciiTheme="minorHAnsi" w:hAnsiTheme="minorHAnsi" w:cstheme="minorHAnsi"/>
                <w:sz w:val="20"/>
                <w:szCs w:val="20"/>
              </w:rPr>
            </w:pPr>
            <w:r w:rsidRPr="001A0327">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814BB23" w14:textId="009AB743" w:rsidR="00132EA6" w:rsidRPr="001A0327" w:rsidRDefault="00132EA6" w:rsidP="00132EA6">
            <w:pPr>
              <w:rPr>
                <w:rFonts w:asciiTheme="minorHAnsi" w:hAnsiTheme="minorHAnsi" w:cstheme="minorHAnsi"/>
                <w:sz w:val="20"/>
                <w:szCs w:val="20"/>
              </w:rPr>
            </w:pPr>
            <w:r w:rsidRPr="001A0327">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0212B05" w14:textId="71F135BF" w:rsidR="000C77C7" w:rsidRPr="001A0327" w:rsidRDefault="000C77C7" w:rsidP="000C77C7">
            <w:pPr>
              <w:jc w:val="both"/>
              <w:rPr>
                <w:rFonts w:asciiTheme="minorHAnsi" w:hAnsiTheme="minorHAnsi" w:cstheme="minorHAnsi"/>
                <w:sz w:val="20"/>
                <w:szCs w:val="20"/>
              </w:rPr>
            </w:pPr>
            <w:r w:rsidRPr="001A0327">
              <w:rPr>
                <w:rFonts w:asciiTheme="minorHAnsi" w:hAnsiTheme="minorHAnsi" w:cstheme="minorHAnsi"/>
                <w:sz w:val="20"/>
                <w:szCs w:val="20"/>
              </w:rPr>
              <w:t xml:space="preserve">HT ističe kako je, analizom izračuna troškova (cijene) najma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 xml:space="preserve"> cijevi, došao do zaključka da ponuđeni izračun ima metodološke kontradikcije i pretpostavke koje su grube pretpostavke koje </w:t>
            </w:r>
            <w:r w:rsidR="008C375E" w:rsidRPr="001A0327">
              <w:rPr>
                <w:rFonts w:asciiTheme="minorHAnsi" w:hAnsiTheme="minorHAnsi" w:cstheme="minorHAnsi"/>
                <w:sz w:val="20"/>
                <w:szCs w:val="20"/>
              </w:rPr>
              <w:t>se ne mogu prihvatiti. St</w:t>
            </w:r>
            <w:r w:rsidRPr="001A0327">
              <w:rPr>
                <w:rFonts w:asciiTheme="minorHAnsi" w:hAnsiTheme="minorHAnsi" w:cstheme="minorHAnsi"/>
                <w:sz w:val="20"/>
                <w:szCs w:val="20"/>
              </w:rPr>
              <w:t xml:space="preserve">oga, HT predlaže da se predložena metodologija na način kako je predlaže HAKOM ne koristi za potrebe izračuna cijena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w:t>
            </w:r>
          </w:p>
          <w:p w14:paraId="537C26D2" w14:textId="77777777" w:rsidR="000C77C7" w:rsidRPr="001A0327" w:rsidRDefault="000C77C7" w:rsidP="000C77C7">
            <w:pPr>
              <w:jc w:val="both"/>
              <w:rPr>
                <w:rFonts w:asciiTheme="minorHAnsi" w:hAnsiTheme="minorHAnsi" w:cstheme="minorHAnsi"/>
                <w:sz w:val="20"/>
                <w:szCs w:val="20"/>
              </w:rPr>
            </w:pPr>
          </w:p>
          <w:p w14:paraId="5CEA357B" w14:textId="77777777" w:rsidR="000C77C7" w:rsidRPr="001A0327" w:rsidRDefault="000C77C7" w:rsidP="000C77C7">
            <w:pPr>
              <w:jc w:val="both"/>
              <w:rPr>
                <w:rFonts w:asciiTheme="minorHAnsi" w:hAnsiTheme="minorHAnsi" w:cstheme="minorHAnsi"/>
                <w:sz w:val="20"/>
                <w:szCs w:val="20"/>
              </w:rPr>
            </w:pPr>
            <w:r w:rsidRPr="001A0327">
              <w:rPr>
                <w:rFonts w:asciiTheme="minorHAnsi" w:hAnsiTheme="minorHAnsi" w:cstheme="minorHAnsi"/>
                <w:sz w:val="20"/>
                <w:szCs w:val="20"/>
              </w:rPr>
              <w:t xml:space="preserve">Međutim, HT smatra kako određeni elementi dostavljenih izračuna predstavljaju dobru bazu da se napravi točan izračun s točnom alokacijom troškova te u nastavku daje detaljniji osvrt na dostavljene izračune i prijedlog u dijelu elemenata koji trebaju biti korišteni za ispravan izračun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 xml:space="preserve"> cijena.</w:t>
            </w:r>
          </w:p>
          <w:p w14:paraId="20129ECE" w14:textId="77777777" w:rsidR="000C77C7" w:rsidRPr="001A0327" w:rsidRDefault="000C77C7" w:rsidP="000C77C7">
            <w:pPr>
              <w:jc w:val="both"/>
              <w:rPr>
                <w:rFonts w:asciiTheme="minorHAnsi" w:hAnsiTheme="minorHAnsi" w:cstheme="minorHAnsi"/>
                <w:sz w:val="20"/>
                <w:szCs w:val="20"/>
              </w:rPr>
            </w:pPr>
          </w:p>
          <w:p w14:paraId="056306A0" w14:textId="77777777" w:rsidR="000C77C7" w:rsidRPr="001A0327" w:rsidRDefault="000C77C7" w:rsidP="000C77C7">
            <w:pPr>
              <w:jc w:val="both"/>
              <w:rPr>
                <w:rFonts w:asciiTheme="minorHAnsi" w:hAnsiTheme="minorHAnsi" w:cstheme="minorHAnsi"/>
                <w:sz w:val="20"/>
                <w:szCs w:val="20"/>
              </w:rPr>
            </w:pPr>
            <w:r w:rsidRPr="001A0327">
              <w:rPr>
                <w:rFonts w:asciiTheme="minorHAnsi" w:hAnsiTheme="minorHAnsi" w:cstheme="minorHAnsi"/>
                <w:sz w:val="20"/>
                <w:szCs w:val="20"/>
              </w:rPr>
              <w:t xml:space="preserve">Razlozi zbog kojih HT smatra da predložena metodologija za izračun cijene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 xml:space="preserve"> nije prihvatljiva:</w:t>
            </w:r>
          </w:p>
          <w:p w14:paraId="2DD0BA90" w14:textId="4301EE09" w:rsidR="00132EA6" w:rsidRPr="001A0327" w:rsidRDefault="00132EA6" w:rsidP="000C77C7">
            <w:pPr>
              <w:jc w:val="both"/>
              <w:rPr>
                <w:rFonts w:asciiTheme="minorHAnsi" w:hAnsiTheme="minorHAnsi" w:cstheme="minorHAnsi"/>
                <w:sz w:val="20"/>
                <w:szCs w:val="20"/>
              </w:rPr>
            </w:pPr>
          </w:p>
          <w:p w14:paraId="2090A184" w14:textId="0E0564D4" w:rsidR="000C77C7" w:rsidRPr="001A0327" w:rsidRDefault="000C77C7" w:rsidP="000C77C7">
            <w:pPr>
              <w:pStyle w:val="ListParagraph"/>
              <w:numPr>
                <w:ilvl w:val="0"/>
                <w:numId w:val="12"/>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U modelu „</w:t>
            </w:r>
            <w:proofErr w:type="spellStart"/>
            <w:r w:rsidRPr="001A0327">
              <w:rPr>
                <w:rFonts w:asciiTheme="minorHAnsi" w:hAnsiTheme="minorHAnsi" w:cstheme="minorHAnsi"/>
                <w:sz w:val="20"/>
                <w:szCs w:val="20"/>
              </w:rPr>
              <w:t>BU-LRIC+cost</w:t>
            </w:r>
            <w:proofErr w:type="spellEnd"/>
            <w:r w:rsidRPr="001A0327">
              <w:rPr>
                <w:rFonts w:asciiTheme="minorHAnsi" w:hAnsiTheme="minorHAnsi" w:cstheme="minorHAnsi"/>
                <w:sz w:val="20"/>
                <w:szCs w:val="20"/>
              </w:rPr>
              <w:t xml:space="preserve"> model-updated-HT-20231026“ u radnom listu „</w:t>
            </w:r>
            <w:proofErr w:type="spellStart"/>
            <w:r w:rsidRPr="001A0327">
              <w:rPr>
                <w:rFonts w:asciiTheme="minorHAnsi" w:hAnsiTheme="minorHAnsi" w:cstheme="minorHAnsi"/>
                <w:sz w:val="20"/>
                <w:szCs w:val="20"/>
              </w:rPr>
              <w:t>ADD</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MOD</w:t>
            </w:r>
            <w:proofErr w:type="spellEnd"/>
            <w:r w:rsidRPr="001A0327">
              <w:rPr>
                <w:rFonts w:asciiTheme="minorHAnsi" w:hAnsiTheme="minorHAnsi" w:cstheme="minorHAnsi"/>
                <w:sz w:val="20"/>
                <w:szCs w:val="20"/>
              </w:rPr>
              <w:t xml:space="preserve">. ACCESS TO </w:t>
            </w:r>
            <w:proofErr w:type="spellStart"/>
            <w:r w:rsidRPr="001A0327">
              <w:rPr>
                <w:rFonts w:asciiTheme="minorHAnsi" w:hAnsiTheme="minorHAnsi" w:cstheme="minorHAnsi"/>
                <w:sz w:val="20"/>
                <w:szCs w:val="20"/>
              </w:rPr>
              <w:t>DUCTS</w:t>
            </w:r>
            <w:proofErr w:type="spellEnd"/>
            <w:r w:rsidRPr="001A0327">
              <w:rPr>
                <w:rFonts w:asciiTheme="minorHAnsi" w:hAnsiTheme="minorHAnsi" w:cstheme="minorHAnsi"/>
                <w:sz w:val="20"/>
                <w:szCs w:val="20"/>
              </w:rPr>
              <w:t>“ trošak rova se „alocira“ na cijevi dijeljenjem sa „</w:t>
            </w:r>
            <w:proofErr w:type="spellStart"/>
            <w:r w:rsidRPr="001A0327">
              <w:rPr>
                <w:rFonts w:asciiTheme="minorHAnsi" w:hAnsiTheme="minorHAnsi" w:cstheme="minorHAnsi"/>
                <w:sz w:val="20"/>
                <w:szCs w:val="20"/>
              </w:rPr>
              <w:t>Cost</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of</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ducts</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over</w:t>
            </w:r>
            <w:proofErr w:type="spellEnd"/>
            <w:r w:rsidRPr="001A0327">
              <w:rPr>
                <w:rFonts w:asciiTheme="minorHAnsi" w:hAnsiTheme="minorHAnsi" w:cstheme="minorHAnsi"/>
                <w:sz w:val="20"/>
                <w:szCs w:val="20"/>
              </w:rPr>
              <w:t xml:space="preserve"> total </w:t>
            </w:r>
            <w:proofErr w:type="spellStart"/>
            <w:r w:rsidRPr="001A0327">
              <w:rPr>
                <w:rFonts w:asciiTheme="minorHAnsi" w:hAnsiTheme="minorHAnsi" w:cstheme="minorHAnsi"/>
                <w:sz w:val="20"/>
                <w:szCs w:val="20"/>
              </w:rPr>
              <w:t>trench</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cost</w:t>
            </w:r>
            <w:proofErr w:type="spellEnd"/>
            <w:r w:rsidRPr="001A0327">
              <w:rPr>
                <w:rFonts w:asciiTheme="minorHAnsi" w:hAnsiTheme="minorHAnsi" w:cstheme="minorHAnsi"/>
                <w:sz w:val="20"/>
                <w:szCs w:val="20"/>
              </w:rPr>
              <w:t xml:space="preserve">“ što je pregruba aproksimacija kojom se </w:t>
            </w:r>
            <w:r w:rsidR="00904E50" w:rsidRPr="001A0327">
              <w:rPr>
                <w:rFonts w:asciiTheme="minorHAnsi" w:hAnsiTheme="minorHAnsi" w:cstheme="minorHAnsi"/>
                <w:sz w:val="20"/>
                <w:szCs w:val="20"/>
              </w:rPr>
              <w:t xml:space="preserve">podcjenjuje </w:t>
            </w:r>
            <w:r w:rsidRPr="001A0327">
              <w:rPr>
                <w:rFonts w:asciiTheme="minorHAnsi" w:hAnsiTheme="minorHAnsi" w:cstheme="minorHAnsi"/>
                <w:sz w:val="20"/>
                <w:szCs w:val="20"/>
              </w:rPr>
              <w:t xml:space="preserve">trošak cijevi što naročito dolazi do izražaja kod mini i mikro cijevi. HT smatra kako ovakva aproksimacija u dijelu troškova koji čine osnovu troškova koja se onda alociraju na cijevi manjeg promjera posebno nije prihvatljiva iz razloga što u dokumentu „Civil </w:t>
            </w:r>
            <w:proofErr w:type="spellStart"/>
            <w:r w:rsidRPr="001A0327">
              <w:rPr>
                <w:rFonts w:asciiTheme="minorHAnsi" w:hAnsiTheme="minorHAnsi" w:cstheme="minorHAnsi"/>
                <w:sz w:val="20"/>
                <w:szCs w:val="20"/>
              </w:rPr>
              <w:t>infrastructure</w:t>
            </w:r>
            <w:proofErr w:type="spellEnd"/>
            <w:r w:rsidRPr="001A0327">
              <w:rPr>
                <w:rFonts w:asciiTheme="minorHAnsi" w:hAnsiTheme="minorHAnsi" w:cstheme="minorHAnsi"/>
                <w:sz w:val="20"/>
                <w:szCs w:val="20"/>
              </w:rPr>
              <w:t xml:space="preserve"> calculation-2023-za HT“ u radnom listu „</w:t>
            </w:r>
            <w:proofErr w:type="spellStart"/>
            <w:r w:rsidRPr="001A0327">
              <w:rPr>
                <w:rFonts w:asciiTheme="minorHAnsi" w:hAnsiTheme="minorHAnsi" w:cstheme="minorHAnsi"/>
                <w:sz w:val="20"/>
                <w:szCs w:val="20"/>
              </w:rPr>
              <w:t>BU</w:t>
            </w:r>
            <w:proofErr w:type="spellEnd"/>
            <w:r w:rsidRPr="001A0327">
              <w:rPr>
                <w:rFonts w:asciiTheme="minorHAnsi" w:hAnsiTheme="minorHAnsi" w:cstheme="minorHAnsi"/>
                <w:sz w:val="20"/>
                <w:szCs w:val="20"/>
              </w:rPr>
              <w:t xml:space="preserve"> 2022 – Summary“ HAKOM ima izračun </w:t>
            </w:r>
            <w:proofErr w:type="spellStart"/>
            <w:r w:rsidRPr="001A0327">
              <w:rPr>
                <w:rFonts w:asciiTheme="minorHAnsi" w:hAnsiTheme="minorHAnsi" w:cstheme="minorHAnsi"/>
                <w:sz w:val="20"/>
                <w:szCs w:val="20"/>
              </w:rPr>
              <w:t>GRC</w:t>
            </w:r>
            <w:proofErr w:type="spellEnd"/>
            <w:r w:rsidRPr="001A0327">
              <w:rPr>
                <w:rFonts w:asciiTheme="minorHAnsi" w:hAnsiTheme="minorHAnsi" w:cstheme="minorHAnsi"/>
                <w:sz w:val="20"/>
                <w:szCs w:val="20"/>
              </w:rPr>
              <w:t xml:space="preserve">-a rova sa duljinama te se može dobiti </w:t>
            </w:r>
            <w:proofErr w:type="spellStart"/>
            <w:r w:rsidRPr="001A0327">
              <w:rPr>
                <w:rFonts w:asciiTheme="minorHAnsi" w:hAnsiTheme="minorHAnsi" w:cstheme="minorHAnsi"/>
                <w:sz w:val="20"/>
                <w:szCs w:val="20"/>
              </w:rPr>
              <w:t>GRC</w:t>
            </w:r>
            <w:proofErr w:type="spellEnd"/>
            <w:r w:rsidRPr="001A0327">
              <w:rPr>
                <w:rFonts w:asciiTheme="minorHAnsi" w:hAnsiTheme="minorHAnsi" w:cstheme="minorHAnsi"/>
                <w:sz w:val="20"/>
                <w:szCs w:val="20"/>
              </w:rPr>
              <w:t xml:space="preserve"> prosječnog metra rova za </w:t>
            </w:r>
            <w:proofErr w:type="spellStart"/>
            <w:r w:rsidRPr="001A0327">
              <w:rPr>
                <w:rFonts w:asciiTheme="minorHAnsi" w:hAnsiTheme="minorHAnsi" w:cstheme="minorHAnsi"/>
                <w:sz w:val="20"/>
                <w:szCs w:val="20"/>
              </w:rPr>
              <w:t>DTK</w:t>
            </w:r>
            <w:proofErr w:type="spellEnd"/>
            <w:r w:rsidRPr="001A0327">
              <w:rPr>
                <w:rFonts w:asciiTheme="minorHAnsi" w:hAnsiTheme="minorHAnsi" w:cstheme="minorHAnsi"/>
                <w:sz w:val="20"/>
                <w:szCs w:val="20"/>
              </w:rPr>
              <w:t xml:space="preserve"> trasu. Iz toga se može izračunati trošak anuiteta za 1 m trase (rova). Na to se mogu dodati troškovi prava puta (služnosti) kao i </w:t>
            </w:r>
            <w:proofErr w:type="spellStart"/>
            <w:r w:rsidRPr="001A0327">
              <w:rPr>
                <w:rFonts w:asciiTheme="minorHAnsi" w:hAnsiTheme="minorHAnsi" w:cstheme="minorHAnsi"/>
                <w:sz w:val="20"/>
                <w:szCs w:val="20"/>
              </w:rPr>
              <w:t>Opex</w:t>
            </w:r>
            <w:proofErr w:type="spellEnd"/>
            <w:r w:rsidRPr="001A0327">
              <w:rPr>
                <w:rFonts w:asciiTheme="minorHAnsi" w:hAnsiTheme="minorHAnsi" w:cstheme="minorHAnsi"/>
                <w:sz w:val="20"/>
                <w:szCs w:val="20"/>
              </w:rPr>
              <w:t xml:space="preserve"> sukladno dostavljenim HT podacima. </w:t>
            </w:r>
          </w:p>
          <w:p w14:paraId="67911606" w14:textId="77777777" w:rsidR="000C77C7" w:rsidRPr="001A0327" w:rsidRDefault="000C77C7" w:rsidP="000C77C7">
            <w:pPr>
              <w:pStyle w:val="ListParagraph"/>
              <w:contextualSpacing w:val="0"/>
              <w:jc w:val="both"/>
              <w:rPr>
                <w:rFonts w:asciiTheme="minorHAnsi" w:hAnsiTheme="minorHAnsi" w:cstheme="minorHAnsi"/>
                <w:sz w:val="20"/>
                <w:szCs w:val="20"/>
              </w:rPr>
            </w:pPr>
          </w:p>
          <w:p w14:paraId="4406D28D" w14:textId="77777777" w:rsidR="000C77C7" w:rsidRPr="001A0327" w:rsidRDefault="000C77C7" w:rsidP="000C77C7">
            <w:pPr>
              <w:pStyle w:val="ListParagraph"/>
              <w:numPr>
                <w:ilvl w:val="0"/>
                <w:numId w:val="12"/>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Prethodno navedeno načelno vrijedi i za „</w:t>
            </w:r>
            <w:proofErr w:type="spellStart"/>
            <w:r w:rsidRPr="001A0327">
              <w:rPr>
                <w:rFonts w:asciiTheme="minorHAnsi" w:hAnsiTheme="minorHAnsi" w:cstheme="minorHAnsi"/>
                <w:sz w:val="20"/>
                <w:szCs w:val="20"/>
              </w:rPr>
              <w:t>Mark-up</w:t>
            </w:r>
            <w:proofErr w:type="spellEnd"/>
            <w:r w:rsidRPr="001A0327">
              <w:rPr>
                <w:rFonts w:asciiTheme="minorHAnsi" w:hAnsiTheme="minorHAnsi" w:cstheme="minorHAnsi"/>
                <w:sz w:val="20"/>
                <w:szCs w:val="20"/>
              </w:rPr>
              <w:t xml:space="preserve"> for </w:t>
            </w:r>
            <w:proofErr w:type="spellStart"/>
            <w:r w:rsidRPr="001A0327">
              <w:rPr>
                <w:rFonts w:asciiTheme="minorHAnsi" w:hAnsiTheme="minorHAnsi" w:cstheme="minorHAnsi"/>
                <w:sz w:val="20"/>
                <w:szCs w:val="20"/>
              </w:rPr>
              <w:t>Right</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of</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Way</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costs</w:t>
            </w:r>
            <w:proofErr w:type="spellEnd"/>
            <w:r w:rsidRPr="001A0327">
              <w:rPr>
                <w:rFonts w:asciiTheme="minorHAnsi" w:hAnsiTheme="minorHAnsi" w:cstheme="minorHAnsi"/>
                <w:sz w:val="20"/>
                <w:szCs w:val="20"/>
              </w:rPr>
              <w:t xml:space="preserve">“ gdje isto imamo grubu i nepreciznu procjenu ovog troška po metru pojedine vrste cijevi </w:t>
            </w:r>
          </w:p>
          <w:p w14:paraId="54C8340D" w14:textId="77777777" w:rsidR="000C77C7" w:rsidRPr="001A0327" w:rsidRDefault="000C77C7" w:rsidP="000C77C7">
            <w:pPr>
              <w:jc w:val="both"/>
              <w:rPr>
                <w:rFonts w:asciiTheme="minorHAnsi" w:hAnsiTheme="minorHAnsi" w:cstheme="minorHAnsi"/>
                <w:sz w:val="20"/>
                <w:szCs w:val="20"/>
              </w:rPr>
            </w:pPr>
          </w:p>
          <w:p w14:paraId="1F81C5D8" w14:textId="77777777" w:rsidR="000C77C7" w:rsidRPr="001A0327" w:rsidRDefault="000C77C7" w:rsidP="000C77C7">
            <w:pPr>
              <w:pStyle w:val="ListParagraph"/>
              <w:numPr>
                <w:ilvl w:val="0"/>
                <w:numId w:val="12"/>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 xml:space="preserve">U dokumentu „Civil </w:t>
            </w:r>
            <w:proofErr w:type="spellStart"/>
            <w:r w:rsidRPr="001A0327">
              <w:rPr>
                <w:rFonts w:asciiTheme="minorHAnsi" w:hAnsiTheme="minorHAnsi" w:cstheme="minorHAnsi"/>
                <w:sz w:val="20"/>
                <w:szCs w:val="20"/>
              </w:rPr>
              <w:t>infrastructure</w:t>
            </w:r>
            <w:proofErr w:type="spellEnd"/>
            <w:r w:rsidRPr="001A0327">
              <w:rPr>
                <w:rFonts w:asciiTheme="minorHAnsi" w:hAnsiTheme="minorHAnsi" w:cstheme="minorHAnsi"/>
                <w:sz w:val="20"/>
                <w:szCs w:val="20"/>
              </w:rPr>
              <w:t xml:space="preserve"> calculation-2023-za HT“ u radnom listu „</w:t>
            </w:r>
            <w:proofErr w:type="spellStart"/>
            <w:r w:rsidRPr="001A0327">
              <w:rPr>
                <w:rFonts w:asciiTheme="minorHAnsi" w:hAnsiTheme="minorHAnsi" w:cstheme="minorHAnsi"/>
                <w:sz w:val="20"/>
                <w:szCs w:val="20"/>
              </w:rPr>
              <w:t>Result</w:t>
            </w:r>
            <w:proofErr w:type="spellEnd"/>
            <w:r w:rsidRPr="001A0327">
              <w:rPr>
                <w:rFonts w:asciiTheme="minorHAnsi" w:hAnsiTheme="minorHAnsi" w:cstheme="minorHAnsi"/>
                <w:sz w:val="20"/>
                <w:szCs w:val="20"/>
              </w:rPr>
              <w:t>“ za  „</w:t>
            </w:r>
            <w:proofErr w:type="spellStart"/>
            <w:r w:rsidRPr="001A0327">
              <w:rPr>
                <w:rFonts w:asciiTheme="minorHAnsi" w:hAnsiTheme="minorHAnsi" w:cstheme="minorHAnsi"/>
                <w:sz w:val="20"/>
                <w:szCs w:val="20"/>
              </w:rPr>
              <w:t>TRENCH</w:t>
            </w:r>
            <w:proofErr w:type="spellEnd"/>
            <w:r w:rsidRPr="001A0327">
              <w:rPr>
                <w:rFonts w:asciiTheme="minorHAnsi" w:hAnsiTheme="minorHAnsi" w:cstheme="minorHAnsi"/>
                <w:sz w:val="20"/>
                <w:szCs w:val="20"/>
              </w:rPr>
              <w:t xml:space="preserve">, </w:t>
            </w:r>
            <w:proofErr w:type="spellStart"/>
            <w:r w:rsidRPr="001A0327">
              <w:rPr>
                <w:rFonts w:asciiTheme="minorHAnsi" w:hAnsiTheme="minorHAnsi" w:cstheme="minorHAnsi"/>
                <w:sz w:val="20"/>
                <w:szCs w:val="20"/>
              </w:rPr>
              <w:t>MANHOLE</w:t>
            </w:r>
            <w:proofErr w:type="spellEnd"/>
            <w:r w:rsidRPr="001A0327">
              <w:rPr>
                <w:rFonts w:asciiTheme="minorHAnsi" w:hAnsiTheme="minorHAnsi" w:cstheme="minorHAnsi"/>
                <w:sz w:val="20"/>
                <w:szCs w:val="20"/>
              </w:rPr>
              <w:t>, BORE“ za imovinu koja nije u cijelosti amortizirana uzima se postotak od 18,75%, a što HT smatra pogrešnim iz sljedećih razloga:</w:t>
            </w:r>
          </w:p>
          <w:p w14:paraId="508FB141" w14:textId="7FF9CD63" w:rsidR="000C77C7" w:rsidRPr="00C14C99" w:rsidRDefault="0051667B" w:rsidP="000C77C7">
            <w:pPr>
              <w:pStyle w:val="ListParagraph"/>
              <w:numPr>
                <w:ilvl w:val="1"/>
                <w:numId w:val="12"/>
              </w:numPr>
              <w:contextualSpacing w:val="0"/>
              <w:jc w:val="both"/>
              <w:rPr>
                <w:rFonts w:asciiTheme="minorHAnsi" w:hAnsiTheme="minorHAnsi" w:cstheme="minorHAnsi"/>
                <w:sz w:val="20"/>
                <w:szCs w:val="20"/>
              </w:rPr>
            </w:pPr>
            <w:r>
              <w:rPr>
                <w:rFonts w:asciiTheme="minorHAnsi" w:hAnsiTheme="minorHAnsi" w:cstheme="minorHAnsi"/>
                <w:sz w:val="20"/>
                <w:szCs w:val="20"/>
              </w:rPr>
              <w:t>K</w:t>
            </w:r>
            <w:r w:rsidR="000C77C7" w:rsidRPr="001A0327">
              <w:rPr>
                <w:rFonts w:asciiTheme="minorHAnsi" w:hAnsiTheme="minorHAnsi" w:cstheme="minorHAnsi"/>
                <w:sz w:val="20"/>
                <w:szCs w:val="20"/>
              </w:rPr>
              <w:t xml:space="preserve">njigovodstveni podatak za tu imovinu kaže da je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0C77C7" w:rsidRPr="00C14C99">
              <w:rPr>
                <w:rFonts w:asciiTheme="minorHAnsi" w:hAnsiTheme="minorHAnsi" w:cstheme="minorHAnsi"/>
                <w:sz w:val="20"/>
                <w:szCs w:val="20"/>
              </w:rPr>
              <w:t>, a što bi bio ispravan udio izračunat po knjigovodstvenim standardima;</w:t>
            </w:r>
          </w:p>
          <w:p w14:paraId="338FF6E3" w14:textId="2D494DE5" w:rsidR="000C77C7" w:rsidRPr="00C14C99" w:rsidRDefault="000C77C7" w:rsidP="000C77C7">
            <w:pPr>
              <w:pStyle w:val="ListParagraph"/>
              <w:numPr>
                <w:ilvl w:val="1"/>
                <w:numId w:val="12"/>
              </w:numPr>
              <w:contextualSpacing w:val="0"/>
              <w:jc w:val="both"/>
              <w:rPr>
                <w:rFonts w:asciiTheme="minorHAnsi" w:hAnsiTheme="minorHAnsi" w:cstheme="minorHAnsi"/>
                <w:sz w:val="20"/>
                <w:szCs w:val="20"/>
              </w:rPr>
            </w:pPr>
            <w:r w:rsidRPr="00C14C99">
              <w:rPr>
                <w:rFonts w:asciiTheme="minorHAnsi" w:hAnsiTheme="minorHAnsi" w:cstheme="minorHAnsi"/>
                <w:sz w:val="20"/>
                <w:szCs w:val="20"/>
              </w:rPr>
              <w:t xml:space="preserve">Nelogično i nemoguće je da kod ispravnog izračuna po troškovnim metodologijama odstupanje bude veće +/- 10 %. Ovdje je rezultat </w:t>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00CD2D5F"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puta manji što ukazuje na grešku;</w:t>
            </w:r>
          </w:p>
          <w:p w14:paraId="34FF2800" w14:textId="19442C3D" w:rsidR="000C77C7" w:rsidRPr="001A0327" w:rsidRDefault="000C77C7" w:rsidP="000C77C7">
            <w:pPr>
              <w:pStyle w:val="ListParagraph"/>
              <w:numPr>
                <w:ilvl w:val="1"/>
                <w:numId w:val="12"/>
              </w:numPr>
              <w:contextualSpacing w:val="0"/>
              <w:jc w:val="both"/>
              <w:rPr>
                <w:rFonts w:asciiTheme="minorHAnsi" w:hAnsiTheme="minorHAnsi" w:cstheme="minorHAnsi"/>
                <w:sz w:val="20"/>
                <w:szCs w:val="20"/>
              </w:rPr>
            </w:pPr>
            <w:r w:rsidRPr="00C14C99">
              <w:rPr>
                <w:rFonts w:asciiTheme="minorHAnsi" w:hAnsiTheme="minorHAnsi" w:cstheme="minorHAnsi"/>
                <w:sz w:val="20"/>
                <w:szCs w:val="20"/>
              </w:rPr>
              <w:t xml:space="preserve">Čak i u slučaju da se u izračun uzme sva imovina neovisno o tome je li ista amortizirana ili ne postotak za imovinu bi bio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dok istovremeno ispada da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od ukupne imovine još uv</w:t>
            </w:r>
            <w:r w:rsidRPr="001A0327">
              <w:rPr>
                <w:rFonts w:asciiTheme="minorHAnsi" w:hAnsiTheme="minorHAnsi" w:cstheme="minorHAnsi"/>
                <w:sz w:val="20"/>
                <w:szCs w:val="20"/>
              </w:rPr>
              <w:t>ijek nije iz amortizirano;</w:t>
            </w:r>
          </w:p>
          <w:p w14:paraId="3BAE510E" w14:textId="30D850AE" w:rsidR="000C77C7" w:rsidRPr="00844E6A" w:rsidRDefault="000C77C7" w:rsidP="000C77C7">
            <w:pPr>
              <w:pStyle w:val="ListParagraph"/>
              <w:numPr>
                <w:ilvl w:val="1"/>
                <w:numId w:val="12"/>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 xml:space="preserve">Nelogičnost se očituje i kroz činjenicu da za ostalu imovinu koja ima životni vijek od 5 do 18 godina ovaj postotak iznosi 35,89 %. Ovo konkretno znači da je imovina gdje su kabeli direktno polagani u zemlju manje </w:t>
            </w:r>
            <w:r w:rsidRPr="00844E6A">
              <w:rPr>
                <w:rFonts w:asciiTheme="minorHAnsi" w:hAnsiTheme="minorHAnsi" w:cstheme="minorHAnsi"/>
                <w:sz w:val="20"/>
                <w:szCs w:val="20"/>
              </w:rPr>
              <w:t xml:space="preserve">iz amortizirana od imovine koja uključuje i cijevi unatoč tome što je način gradnje bez cijevi karakterističan za daljnju prošlost te se na njega primjenjuje amortizacija </w:t>
            </w:r>
            <w:r w:rsidR="000F6092" w:rsidRPr="00844E6A">
              <w:rPr>
                <w:rFonts w:asciiTheme="minorHAnsi" w:hAnsiTheme="minorHAnsi" w:cstheme="minorHAnsi"/>
                <w:sz w:val="20"/>
                <w:szCs w:val="20"/>
              </w:rPr>
              <w:t xml:space="preserve">u iznosu od </w:t>
            </w:r>
            <w:r w:rsidRPr="00844E6A">
              <w:rPr>
                <w:rFonts w:asciiTheme="minorHAnsi" w:hAnsiTheme="minorHAnsi" w:cstheme="minorHAnsi"/>
                <w:sz w:val="20"/>
                <w:szCs w:val="20"/>
              </w:rPr>
              <w:t>18 godina. Plastično govoreći ispada da kabeli koji imaju životni vijek od 18 godina nisu iz amortizirani dok cijevi (rov je uključen u cijevi) koji u knjigama HT-a imaju životni vijek od 30 godina jesu iz amortizirani, a što nije logično;</w:t>
            </w:r>
          </w:p>
          <w:p w14:paraId="296863BF" w14:textId="77777777" w:rsidR="000C77C7" w:rsidRPr="00844E6A" w:rsidRDefault="000C77C7" w:rsidP="000C77C7">
            <w:pPr>
              <w:pStyle w:val="ListParagraph"/>
              <w:numPr>
                <w:ilvl w:val="1"/>
                <w:numId w:val="12"/>
              </w:numPr>
              <w:contextualSpacing w:val="0"/>
              <w:jc w:val="both"/>
              <w:rPr>
                <w:rFonts w:asciiTheme="minorHAnsi" w:hAnsiTheme="minorHAnsi" w:cstheme="minorHAnsi"/>
                <w:sz w:val="20"/>
                <w:szCs w:val="20"/>
              </w:rPr>
            </w:pPr>
            <w:r w:rsidRPr="00844E6A">
              <w:rPr>
                <w:rFonts w:asciiTheme="minorHAnsi" w:hAnsiTheme="minorHAnsi" w:cstheme="minorHAnsi"/>
                <w:sz w:val="20"/>
                <w:szCs w:val="20"/>
              </w:rPr>
              <w:t>Činjenice pod a, b, c i d ukazuju da vrijednosti u ćelijama u radnom listu „</w:t>
            </w:r>
            <w:proofErr w:type="spellStart"/>
            <w:r w:rsidRPr="00844E6A">
              <w:rPr>
                <w:rFonts w:asciiTheme="minorHAnsi" w:hAnsiTheme="minorHAnsi" w:cstheme="minorHAnsi"/>
                <w:sz w:val="20"/>
                <w:szCs w:val="20"/>
              </w:rPr>
              <w:t>Result</w:t>
            </w:r>
            <w:proofErr w:type="spellEnd"/>
            <w:r w:rsidRPr="00844E6A">
              <w:rPr>
                <w:rFonts w:asciiTheme="minorHAnsi" w:hAnsiTheme="minorHAnsi" w:cstheme="minorHAnsi"/>
                <w:sz w:val="20"/>
                <w:szCs w:val="20"/>
              </w:rPr>
              <w:t>“ vrijednosti u ćelijama D9 i E9 nisu kompatibilne jer ne predstavljaju istu mrežu niti istu metodologiju;</w:t>
            </w:r>
          </w:p>
          <w:p w14:paraId="24C7722D" w14:textId="759BE4EC" w:rsidR="000C77C7" w:rsidRPr="001A0327" w:rsidRDefault="000C77C7" w:rsidP="000C77C7">
            <w:pPr>
              <w:pStyle w:val="ListParagraph"/>
              <w:numPr>
                <w:ilvl w:val="1"/>
                <w:numId w:val="12"/>
              </w:numPr>
              <w:contextualSpacing w:val="0"/>
              <w:jc w:val="both"/>
              <w:rPr>
                <w:rFonts w:asciiTheme="minorHAnsi" w:hAnsiTheme="minorHAnsi" w:cstheme="minorHAnsi"/>
                <w:sz w:val="20"/>
                <w:szCs w:val="20"/>
              </w:rPr>
            </w:pPr>
            <w:r w:rsidRPr="00844E6A">
              <w:rPr>
                <w:rFonts w:asciiTheme="minorHAnsi" w:hAnsiTheme="minorHAnsi" w:cstheme="minorHAnsi"/>
                <w:sz w:val="20"/>
                <w:szCs w:val="20"/>
              </w:rPr>
              <w:t xml:space="preserve">Ukoliko HAKOM i dalje smatra kako knjigovodstveni omjer </w:t>
            </w:r>
            <w:proofErr w:type="spellStart"/>
            <w:r w:rsidRPr="00844E6A">
              <w:rPr>
                <w:rFonts w:asciiTheme="minorHAnsi" w:hAnsiTheme="minorHAnsi" w:cstheme="minorHAnsi"/>
                <w:sz w:val="20"/>
                <w:szCs w:val="20"/>
              </w:rPr>
              <w:t>NBV</w:t>
            </w:r>
            <w:proofErr w:type="spellEnd"/>
            <w:r w:rsidRPr="00844E6A">
              <w:rPr>
                <w:rFonts w:asciiTheme="minorHAnsi" w:hAnsiTheme="minorHAnsi" w:cstheme="minorHAnsi"/>
                <w:sz w:val="20"/>
                <w:szCs w:val="20"/>
              </w:rPr>
              <w:t>/</w:t>
            </w:r>
            <w:proofErr w:type="spellStart"/>
            <w:r w:rsidRPr="00844E6A">
              <w:rPr>
                <w:rFonts w:asciiTheme="minorHAnsi" w:hAnsiTheme="minorHAnsi" w:cstheme="minorHAnsi"/>
                <w:sz w:val="20"/>
                <w:szCs w:val="20"/>
              </w:rPr>
              <w:t>GBV</w:t>
            </w:r>
            <w:proofErr w:type="spellEnd"/>
            <w:r w:rsidRPr="00844E6A">
              <w:rPr>
                <w:rFonts w:asciiTheme="minorHAnsi" w:hAnsiTheme="minorHAnsi" w:cstheme="minorHAnsi"/>
                <w:sz w:val="20"/>
                <w:szCs w:val="20"/>
              </w:rPr>
              <w:t xml:space="preserve"> nije ispravan način računanja postotka imovine koja još uvijek nije amortizirana, onda vrijednost u ćeliji D9 treba izračunati po istoj metodologiji i iz istih (kompatibilnih) ulaznih </w:t>
            </w:r>
            <w:r w:rsidR="00023DBF" w:rsidRPr="00844E6A">
              <w:rPr>
                <w:rFonts w:asciiTheme="minorHAnsi" w:hAnsiTheme="minorHAnsi" w:cstheme="minorHAnsi"/>
                <w:sz w:val="20"/>
                <w:szCs w:val="20"/>
              </w:rPr>
              <w:t xml:space="preserve">podataka </w:t>
            </w:r>
            <w:r w:rsidRPr="00844E6A">
              <w:rPr>
                <w:rFonts w:asciiTheme="minorHAnsi" w:hAnsiTheme="minorHAnsi" w:cstheme="minorHAnsi"/>
                <w:sz w:val="20"/>
                <w:szCs w:val="20"/>
              </w:rPr>
              <w:t xml:space="preserve">kao i vrijednost u ćeliji E9. To znači da se treba napraviti projekt na osnovu koga bi se dobili podaci o godini izgradnje pojedine </w:t>
            </w:r>
            <w:proofErr w:type="spellStart"/>
            <w:r w:rsidRPr="00844E6A">
              <w:rPr>
                <w:rFonts w:asciiTheme="minorHAnsi" w:hAnsiTheme="minorHAnsi" w:cstheme="minorHAnsi"/>
                <w:sz w:val="20"/>
                <w:szCs w:val="20"/>
              </w:rPr>
              <w:t>DTK</w:t>
            </w:r>
            <w:proofErr w:type="spellEnd"/>
            <w:r w:rsidRPr="00844E6A">
              <w:rPr>
                <w:rFonts w:asciiTheme="minorHAnsi" w:hAnsiTheme="minorHAnsi" w:cstheme="minorHAnsi"/>
                <w:sz w:val="20"/>
                <w:szCs w:val="20"/>
              </w:rPr>
              <w:t xml:space="preserve"> dionice tako bi se došlo do podatka o duljini trase koja nije iz amort</w:t>
            </w:r>
            <w:r w:rsidRPr="001A0327">
              <w:rPr>
                <w:rFonts w:asciiTheme="minorHAnsi" w:hAnsiTheme="minorHAnsi" w:cstheme="minorHAnsi"/>
                <w:sz w:val="20"/>
                <w:szCs w:val="20"/>
              </w:rPr>
              <w:t>izirana i za te duljine onda treba napraviti izračun za D9;</w:t>
            </w:r>
          </w:p>
          <w:p w14:paraId="1273EF62" w14:textId="07A573A4" w:rsidR="000C77C7" w:rsidRPr="001A0327" w:rsidRDefault="000C77C7" w:rsidP="000C77C7">
            <w:pPr>
              <w:pStyle w:val="ListParagraph"/>
              <w:numPr>
                <w:ilvl w:val="1"/>
                <w:numId w:val="12"/>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 xml:space="preserve">Za očekivati je da bi izračun sukladno točci f dao rezultat koji ima odstupanje unutar +/- 10 % u odnosu na knjigovodstveni omjer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 znači očekivana vrijednost je između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xml:space="preserve"> i </w:t>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00B20EE1" w:rsidRPr="00C14C99">
              <w:rPr>
                <w:rFonts w:asciiTheme="minorHAnsi" w:hAnsiTheme="minorHAnsi" w:cstheme="minorHAnsi"/>
                <w:sz w:val="20"/>
                <w:szCs w:val="20"/>
              </w:rPr>
              <w:sym w:font="Wingdings" w:char="F022"/>
            </w:r>
            <w:r w:rsidRPr="00C14C99">
              <w:rPr>
                <w:rFonts w:asciiTheme="minorHAnsi" w:hAnsiTheme="minorHAnsi" w:cstheme="minorHAnsi"/>
                <w:sz w:val="20"/>
                <w:szCs w:val="20"/>
              </w:rPr>
              <w:t>. U svakom slučaju vrijednost od 18,75% je netočna, nelogična</w:t>
            </w:r>
            <w:r w:rsidRPr="001A0327">
              <w:rPr>
                <w:rFonts w:asciiTheme="minorHAnsi" w:hAnsiTheme="minorHAnsi" w:cstheme="minorHAnsi"/>
                <w:sz w:val="20"/>
                <w:szCs w:val="20"/>
              </w:rPr>
              <w:t xml:space="preserve"> i neprihvatljiva.</w:t>
            </w:r>
          </w:p>
          <w:p w14:paraId="04B33D93" w14:textId="77777777" w:rsidR="000C77C7" w:rsidRPr="001A0327" w:rsidRDefault="000C77C7" w:rsidP="000C77C7">
            <w:pPr>
              <w:pStyle w:val="ListParagraph"/>
              <w:numPr>
                <w:ilvl w:val="0"/>
                <w:numId w:val="12"/>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 xml:space="preserve">Plastičan pokazatelj kako predloženi model ima značajne nedostatke može se pokazati putem sljedećeg izračuna. Cijena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 xml:space="preserve"> za 2023. za cijev 50 mm iznosi 0,31 €. S obzirom da se u cijev 50 mm u pravilu uvlače 3 mikro cijevi, alociranjem troška cijevi 50 mm dobijemo da na svaku od njih alociramo cca 0,1 €, a što bi značilo da inkrementalni troškovi vezano za uvlačenje mikro cijevi čine skoro 50% konačne cijene, što nikako nije logično.</w:t>
            </w:r>
          </w:p>
          <w:p w14:paraId="6B4DE201" w14:textId="77777777" w:rsidR="000C77C7" w:rsidRPr="001A0327" w:rsidRDefault="000C77C7" w:rsidP="000C77C7">
            <w:pPr>
              <w:jc w:val="both"/>
              <w:rPr>
                <w:rFonts w:asciiTheme="minorHAnsi" w:hAnsiTheme="minorHAnsi" w:cstheme="minorHAnsi"/>
                <w:sz w:val="20"/>
                <w:szCs w:val="20"/>
              </w:rPr>
            </w:pPr>
          </w:p>
          <w:p w14:paraId="25E423A5" w14:textId="77777777" w:rsidR="000C77C7" w:rsidRPr="001A0327" w:rsidRDefault="000C77C7" w:rsidP="000C77C7">
            <w:pPr>
              <w:rPr>
                <w:rFonts w:asciiTheme="minorHAnsi" w:hAnsiTheme="minorHAnsi" w:cstheme="minorHAnsi"/>
                <w:sz w:val="20"/>
                <w:szCs w:val="20"/>
              </w:rPr>
            </w:pPr>
            <w:r w:rsidRPr="001A0327">
              <w:rPr>
                <w:rFonts w:asciiTheme="minorHAnsi" w:hAnsiTheme="minorHAnsi" w:cstheme="minorHAnsi"/>
                <w:sz w:val="20"/>
                <w:szCs w:val="20"/>
              </w:rPr>
              <w:t>HT prijedlog:</w:t>
            </w:r>
          </w:p>
          <w:p w14:paraId="3C383E58" w14:textId="2E2A3157" w:rsidR="000C77C7" w:rsidRPr="001A0327" w:rsidRDefault="000C77C7" w:rsidP="000C77C7">
            <w:pPr>
              <w:pStyle w:val="ListParagraph"/>
              <w:numPr>
                <w:ilvl w:val="0"/>
                <w:numId w:val="13"/>
              </w:numPr>
              <w:spacing w:after="160" w:line="259" w:lineRule="auto"/>
              <w:jc w:val="both"/>
              <w:rPr>
                <w:rFonts w:asciiTheme="minorHAnsi" w:hAnsiTheme="minorHAnsi" w:cstheme="minorHAnsi"/>
                <w:sz w:val="20"/>
                <w:szCs w:val="20"/>
              </w:rPr>
            </w:pPr>
            <w:r w:rsidRPr="001A0327">
              <w:rPr>
                <w:rFonts w:asciiTheme="minorHAnsi" w:hAnsiTheme="minorHAnsi" w:cstheme="minorHAnsi"/>
                <w:sz w:val="20"/>
                <w:szCs w:val="20"/>
              </w:rPr>
              <w:t xml:space="preserve">HT smatra kako u dokumentu „Civil </w:t>
            </w:r>
            <w:proofErr w:type="spellStart"/>
            <w:r w:rsidRPr="001A0327">
              <w:rPr>
                <w:rFonts w:asciiTheme="minorHAnsi" w:hAnsiTheme="minorHAnsi" w:cstheme="minorHAnsi"/>
                <w:sz w:val="20"/>
                <w:szCs w:val="20"/>
              </w:rPr>
              <w:t>infrastructure</w:t>
            </w:r>
            <w:proofErr w:type="spellEnd"/>
            <w:r w:rsidRPr="001A0327">
              <w:rPr>
                <w:rFonts w:asciiTheme="minorHAnsi" w:hAnsiTheme="minorHAnsi" w:cstheme="minorHAnsi"/>
                <w:sz w:val="20"/>
                <w:szCs w:val="20"/>
              </w:rPr>
              <w:t xml:space="preserve"> calculation-2023-za HT“ u radnom listu „</w:t>
            </w:r>
            <w:proofErr w:type="spellStart"/>
            <w:r w:rsidRPr="001A0327">
              <w:rPr>
                <w:rFonts w:asciiTheme="minorHAnsi" w:hAnsiTheme="minorHAnsi" w:cstheme="minorHAnsi"/>
                <w:sz w:val="20"/>
                <w:szCs w:val="20"/>
              </w:rPr>
              <w:t>BU</w:t>
            </w:r>
            <w:proofErr w:type="spellEnd"/>
            <w:r w:rsidRPr="001A0327">
              <w:rPr>
                <w:rFonts w:asciiTheme="minorHAnsi" w:hAnsiTheme="minorHAnsi" w:cstheme="minorHAnsi"/>
                <w:sz w:val="20"/>
                <w:szCs w:val="20"/>
              </w:rPr>
              <w:t xml:space="preserve"> 2022 – Summary“, HAKOM ima izračun </w:t>
            </w:r>
            <w:proofErr w:type="spellStart"/>
            <w:r w:rsidRPr="001A0327">
              <w:rPr>
                <w:rFonts w:asciiTheme="minorHAnsi" w:hAnsiTheme="minorHAnsi" w:cstheme="minorHAnsi"/>
                <w:sz w:val="20"/>
                <w:szCs w:val="20"/>
              </w:rPr>
              <w:t>GRC</w:t>
            </w:r>
            <w:proofErr w:type="spellEnd"/>
            <w:r w:rsidRPr="001A0327">
              <w:rPr>
                <w:rFonts w:asciiTheme="minorHAnsi" w:hAnsiTheme="minorHAnsi" w:cstheme="minorHAnsi"/>
                <w:sz w:val="20"/>
                <w:szCs w:val="20"/>
              </w:rPr>
              <w:t xml:space="preserve">-a rova sa duljinama te se može dobiti </w:t>
            </w:r>
            <w:proofErr w:type="spellStart"/>
            <w:r w:rsidRPr="001A0327">
              <w:rPr>
                <w:rFonts w:asciiTheme="minorHAnsi" w:hAnsiTheme="minorHAnsi" w:cstheme="minorHAnsi"/>
                <w:sz w:val="20"/>
                <w:szCs w:val="20"/>
              </w:rPr>
              <w:t>GRC</w:t>
            </w:r>
            <w:proofErr w:type="spellEnd"/>
            <w:r w:rsidRPr="001A0327">
              <w:rPr>
                <w:rFonts w:asciiTheme="minorHAnsi" w:hAnsiTheme="minorHAnsi" w:cstheme="minorHAnsi"/>
                <w:sz w:val="20"/>
                <w:szCs w:val="20"/>
              </w:rPr>
              <w:t xml:space="preserve"> prosječnog metra rova za </w:t>
            </w:r>
            <w:proofErr w:type="spellStart"/>
            <w:r w:rsidRPr="001A0327">
              <w:rPr>
                <w:rFonts w:asciiTheme="minorHAnsi" w:hAnsiTheme="minorHAnsi" w:cstheme="minorHAnsi"/>
                <w:sz w:val="20"/>
                <w:szCs w:val="20"/>
              </w:rPr>
              <w:t>DTK</w:t>
            </w:r>
            <w:proofErr w:type="spellEnd"/>
            <w:r w:rsidRPr="001A0327">
              <w:rPr>
                <w:rFonts w:asciiTheme="minorHAnsi" w:hAnsiTheme="minorHAnsi" w:cstheme="minorHAnsi"/>
                <w:sz w:val="20"/>
                <w:szCs w:val="20"/>
              </w:rPr>
              <w:t xml:space="preserve"> trasu. Iz toga se može izračunati trošak anuiteta za 1 m trase (rova). Na to se mogu dodati troškovi prava puta (služnosti) kao i </w:t>
            </w:r>
            <w:proofErr w:type="spellStart"/>
            <w:r w:rsidRPr="001A0327">
              <w:rPr>
                <w:rFonts w:asciiTheme="minorHAnsi" w:hAnsiTheme="minorHAnsi" w:cstheme="minorHAnsi"/>
                <w:sz w:val="20"/>
                <w:szCs w:val="20"/>
              </w:rPr>
              <w:t>Opex</w:t>
            </w:r>
            <w:proofErr w:type="spellEnd"/>
            <w:r w:rsidRPr="001A0327">
              <w:rPr>
                <w:rFonts w:asciiTheme="minorHAnsi" w:hAnsiTheme="minorHAnsi" w:cstheme="minorHAnsi"/>
                <w:sz w:val="20"/>
                <w:szCs w:val="20"/>
              </w:rPr>
              <w:t xml:space="preserve"> sukladno dostavljenim HT podacima. </w:t>
            </w:r>
          </w:p>
          <w:p w14:paraId="54BC81CC" w14:textId="77777777" w:rsidR="000C77C7" w:rsidRPr="001A0327" w:rsidRDefault="000C77C7" w:rsidP="000C77C7">
            <w:pPr>
              <w:pStyle w:val="ListParagraph"/>
              <w:numPr>
                <w:ilvl w:val="0"/>
                <w:numId w:val="13"/>
              </w:numPr>
              <w:contextualSpacing w:val="0"/>
              <w:jc w:val="both"/>
              <w:rPr>
                <w:rFonts w:asciiTheme="minorHAnsi" w:hAnsiTheme="minorHAnsi" w:cstheme="minorHAnsi"/>
                <w:sz w:val="20"/>
                <w:szCs w:val="20"/>
              </w:rPr>
            </w:pPr>
            <w:r w:rsidRPr="001A0327">
              <w:rPr>
                <w:rFonts w:asciiTheme="minorHAnsi" w:hAnsiTheme="minorHAnsi" w:cstheme="minorHAnsi"/>
                <w:sz w:val="20"/>
                <w:szCs w:val="20"/>
              </w:rPr>
              <w:t xml:space="preserve">Uzimajući u obzir tako izračunati trošak 1m trase te podatke koje je HT do sada dostavljao o strukturi prosječnog metra </w:t>
            </w:r>
            <w:proofErr w:type="spellStart"/>
            <w:r w:rsidRPr="001A0327">
              <w:rPr>
                <w:rFonts w:asciiTheme="minorHAnsi" w:hAnsiTheme="minorHAnsi" w:cstheme="minorHAnsi"/>
                <w:sz w:val="20"/>
                <w:szCs w:val="20"/>
              </w:rPr>
              <w:t>DTK</w:t>
            </w:r>
            <w:proofErr w:type="spellEnd"/>
            <w:r w:rsidRPr="001A0327">
              <w:rPr>
                <w:rFonts w:asciiTheme="minorHAnsi" w:hAnsiTheme="minorHAnsi" w:cstheme="minorHAnsi"/>
                <w:sz w:val="20"/>
                <w:szCs w:val="20"/>
              </w:rPr>
              <w:t xml:space="preserve"> rova kao i statistike o broju mini i mikro cijevi koje se uvlače u cijevi 110 i 50 mm. Na osnovu toga se treba napraviti točna alokacija troškova trase i prava puta (služnosti) na m pojedine vrste cijevi.</w:t>
            </w:r>
          </w:p>
          <w:p w14:paraId="3C1594CE" w14:textId="4462FCAC" w:rsidR="000C77C7" w:rsidRPr="001A0327" w:rsidRDefault="000C77C7" w:rsidP="000C77C7">
            <w:pPr>
              <w:jc w:val="both"/>
              <w:rPr>
                <w:rFonts w:asciiTheme="minorHAnsi" w:hAnsiTheme="minorHAnsi" w:cstheme="minorHAnsi"/>
                <w:sz w:val="20"/>
                <w:szCs w:val="20"/>
              </w:rPr>
            </w:pPr>
            <w:r w:rsidRPr="001A0327">
              <w:rPr>
                <w:rFonts w:asciiTheme="minorHAnsi" w:hAnsiTheme="minorHAnsi" w:cstheme="minorHAnsi"/>
                <w:sz w:val="20"/>
                <w:szCs w:val="20"/>
              </w:rPr>
              <w:t>Trošak materijala i instalacije cijevi ne treba dijeliti sa brojem vrsta cijevi pojedinog presjeka već ponderirano uzeti pojedinu vrstu sukladno podacima o postotnoj zastupljenosti pojedine vrste cijevi.</w:t>
            </w:r>
          </w:p>
          <w:p w14:paraId="21142CBA" w14:textId="1E04ADB2" w:rsidR="000C77C7" w:rsidRPr="001A0327" w:rsidRDefault="000C77C7" w:rsidP="000C77C7">
            <w:pPr>
              <w:jc w:val="both"/>
              <w:rPr>
                <w:rFonts w:asciiTheme="minorHAnsi" w:hAnsiTheme="minorHAnsi" w:cstheme="minorHAnsi"/>
                <w:sz w:val="20"/>
                <w:szCs w:val="20"/>
              </w:rPr>
            </w:pPr>
          </w:p>
          <w:p w14:paraId="1F43BA1A" w14:textId="6C9CED0E" w:rsidR="000C77C7" w:rsidRPr="001A0327" w:rsidRDefault="000C77C7" w:rsidP="002B620F">
            <w:pPr>
              <w:jc w:val="both"/>
              <w:rPr>
                <w:rFonts w:asciiTheme="minorHAnsi" w:hAnsiTheme="minorHAnsi" w:cstheme="minorHAnsi"/>
                <w:sz w:val="20"/>
                <w:szCs w:val="20"/>
              </w:rPr>
            </w:pPr>
            <w:r w:rsidRPr="001A0327">
              <w:rPr>
                <w:rFonts w:asciiTheme="minorHAnsi" w:hAnsiTheme="minorHAnsi" w:cstheme="minorHAnsi"/>
                <w:sz w:val="20"/>
                <w:szCs w:val="20"/>
              </w:rPr>
              <w:t xml:space="preserve">Uzimajući u obzir sve navedeno te činjenicu kako trenutno važeće cijene za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 xml:space="preserve"> nemaju definirano ograničenje do kada vrijede, HT poziva HAKOM da uvažavajući gore navedene argumente ne ide s objavom novih cijena na javnoj raspravi sukladno </w:t>
            </w:r>
            <w:r w:rsidRPr="001A0327">
              <w:rPr>
                <w:rFonts w:asciiTheme="minorHAnsi" w:hAnsiTheme="minorHAnsi" w:cstheme="minorHAnsi"/>
                <w:sz w:val="20"/>
                <w:szCs w:val="20"/>
              </w:rPr>
              <w:lastRenderedPageBreak/>
              <w:t xml:space="preserve">dostavljenoj metodologiji te predlažemo da s ciljem dodatnog pojašnjenja gore navedenih argumenata te danih prijedloga održimo zajedničke radionice koje bi imale za cilj definirati ispravan način definiranja novih </w:t>
            </w:r>
            <w:proofErr w:type="spellStart"/>
            <w:r w:rsidRPr="001A0327">
              <w:rPr>
                <w:rFonts w:asciiTheme="minorHAnsi" w:hAnsiTheme="minorHAnsi" w:cstheme="minorHAnsi"/>
                <w:sz w:val="20"/>
                <w:szCs w:val="20"/>
              </w:rPr>
              <w:t>EKI</w:t>
            </w:r>
            <w:proofErr w:type="spellEnd"/>
            <w:r w:rsidRPr="001A0327">
              <w:rPr>
                <w:rFonts w:asciiTheme="minorHAnsi" w:hAnsiTheme="minorHAnsi" w:cstheme="minorHAnsi"/>
                <w:sz w:val="20"/>
                <w:szCs w:val="20"/>
              </w:rPr>
              <w:t xml:space="preserve"> cijena</w:t>
            </w:r>
            <w:r w:rsidR="002B620F">
              <w:rPr>
                <w:rFonts w:asciiTheme="minorHAnsi" w:hAnsiTheme="minorHAnsi" w:cstheme="minorHAnsi"/>
                <w:sz w:val="20"/>
                <w:szCs w:val="20"/>
              </w:rPr>
              <w:t>.</w:t>
            </w:r>
          </w:p>
        </w:tc>
        <w:tc>
          <w:tcPr>
            <w:tcW w:w="1936" w:type="pct"/>
            <w:tcBorders>
              <w:top w:val="single" w:sz="6" w:space="0" w:color="CCCCCC"/>
              <w:left w:val="single" w:sz="6" w:space="0" w:color="CCCCCC"/>
              <w:bottom w:val="single" w:sz="6" w:space="0" w:color="CCCCCC"/>
              <w:right w:val="single" w:sz="6" w:space="0" w:color="CCCCCC"/>
            </w:tcBorders>
          </w:tcPr>
          <w:p w14:paraId="75A0812E" w14:textId="77777777" w:rsidR="00D9416B" w:rsidRDefault="00D9416B" w:rsidP="00D9416B">
            <w:pPr>
              <w:ind w:left="39"/>
              <w:rPr>
                <w:rFonts w:asciiTheme="minorHAnsi" w:hAnsiTheme="minorHAnsi" w:cstheme="minorHAnsi"/>
                <w:sz w:val="20"/>
                <w:szCs w:val="20"/>
              </w:rPr>
            </w:pPr>
          </w:p>
          <w:p w14:paraId="16F4C3FD" w14:textId="21036372" w:rsidR="00D9416B" w:rsidRDefault="00D9416B" w:rsidP="00C14C99">
            <w:pPr>
              <w:ind w:left="39"/>
              <w:jc w:val="both"/>
              <w:rPr>
                <w:rFonts w:asciiTheme="minorHAnsi" w:hAnsiTheme="minorHAnsi" w:cstheme="minorHAnsi"/>
                <w:sz w:val="20"/>
                <w:szCs w:val="20"/>
              </w:rPr>
            </w:pPr>
            <w:r w:rsidRPr="00D9416B">
              <w:rPr>
                <w:rFonts w:asciiTheme="minorHAnsi" w:hAnsiTheme="minorHAnsi" w:cstheme="minorHAnsi"/>
                <w:sz w:val="20"/>
                <w:szCs w:val="20"/>
              </w:rPr>
              <w:t/>
            </w:r>
            <w:r w:rsidRPr="00D9416B">
              <w:rPr>
                <w:rFonts w:asciiTheme="minorHAnsi" w:hAnsiTheme="minorHAnsi" w:cstheme="minorHAnsi"/>
                <w:sz w:val="20"/>
                <w:szCs w:val="20"/>
              </w:rPr>
              <w:t>HAKOM se ne slaže da se trošak cijevi podcjenjuje</w:t>
            </w:r>
            <w:r>
              <w:rPr>
                <w:rFonts w:asciiTheme="minorHAnsi" w:hAnsiTheme="minorHAnsi" w:cstheme="minorHAnsi"/>
                <w:sz w:val="20"/>
                <w:szCs w:val="20"/>
              </w:rPr>
              <w:t xml:space="preserve"> kako HT navodi u toč</w:t>
            </w:r>
            <w:r w:rsidR="009205E6">
              <w:rPr>
                <w:rFonts w:asciiTheme="minorHAnsi" w:hAnsiTheme="minorHAnsi" w:cstheme="minorHAnsi"/>
                <w:sz w:val="20"/>
                <w:szCs w:val="20"/>
              </w:rPr>
              <w:t>k</w:t>
            </w:r>
            <w:r>
              <w:rPr>
                <w:rFonts w:asciiTheme="minorHAnsi" w:hAnsiTheme="minorHAnsi" w:cstheme="minorHAnsi"/>
                <w:sz w:val="20"/>
                <w:szCs w:val="20"/>
              </w:rPr>
              <w:t>i 1. svog komentara</w:t>
            </w:r>
            <w:r w:rsidRPr="00D9416B">
              <w:rPr>
                <w:rFonts w:asciiTheme="minorHAnsi" w:hAnsiTheme="minorHAnsi" w:cstheme="minorHAnsi"/>
                <w:sz w:val="20"/>
                <w:szCs w:val="20"/>
              </w:rPr>
              <w:t xml:space="preserve">. Naime, podatak o prosječnom udjelu troška cijevi u ukupnom trošku </w:t>
            </w:r>
            <w:proofErr w:type="spellStart"/>
            <w:r w:rsidRPr="00D9416B">
              <w:rPr>
                <w:rFonts w:asciiTheme="minorHAnsi" w:hAnsiTheme="minorHAnsi" w:cstheme="minorHAnsi"/>
                <w:sz w:val="20"/>
                <w:szCs w:val="20"/>
              </w:rPr>
              <w:t>DTK</w:t>
            </w:r>
            <w:proofErr w:type="spellEnd"/>
            <w:r w:rsidRPr="00D9416B">
              <w:rPr>
                <w:rFonts w:asciiTheme="minorHAnsi" w:hAnsiTheme="minorHAnsi" w:cstheme="minorHAnsi"/>
                <w:sz w:val="20"/>
                <w:szCs w:val="20"/>
              </w:rPr>
              <w:t xml:space="preserve"> izravno proizlazi iz podataka, odnosno izračuna troška </w:t>
            </w:r>
            <w:proofErr w:type="spellStart"/>
            <w:r w:rsidRPr="00D9416B">
              <w:rPr>
                <w:rFonts w:asciiTheme="minorHAnsi" w:hAnsiTheme="minorHAnsi" w:cstheme="minorHAnsi"/>
                <w:sz w:val="20"/>
                <w:szCs w:val="20"/>
              </w:rPr>
              <w:t>DTK</w:t>
            </w:r>
            <w:proofErr w:type="spellEnd"/>
            <w:r w:rsidRPr="00D9416B">
              <w:rPr>
                <w:rFonts w:asciiTheme="minorHAnsi" w:hAnsiTheme="minorHAnsi" w:cstheme="minorHAnsi"/>
                <w:sz w:val="20"/>
                <w:szCs w:val="20"/>
              </w:rPr>
              <w:t xml:space="preserve"> koje je dostavio HT</w:t>
            </w:r>
            <w:r w:rsidR="0050217E">
              <w:rPr>
                <w:rFonts w:asciiTheme="minorHAnsi" w:hAnsiTheme="minorHAnsi" w:cstheme="minorHAnsi"/>
                <w:sz w:val="20"/>
                <w:szCs w:val="20"/>
              </w:rPr>
              <w:t>.</w:t>
            </w:r>
          </w:p>
          <w:p w14:paraId="51B50462" w14:textId="6605CE9B" w:rsidR="00D9416B" w:rsidRDefault="00D9416B" w:rsidP="00C14C99">
            <w:pPr>
              <w:ind w:left="39"/>
              <w:jc w:val="both"/>
              <w:rPr>
                <w:rFonts w:asciiTheme="minorHAnsi" w:hAnsiTheme="minorHAnsi" w:cstheme="minorHAnsi"/>
                <w:sz w:val="20"/>
                <w:szCs w:val="20"/>
              </w:rPr>
            </w:pPr>
          </w:p>
          <w:p w14:paraId="07D40B32" w14:textId="1A0AC510" w:rsidR="00D9416B" w:rsidRPr="00D9416B" w:rsidRDefault="00D9416B" w:rsidP="00C14C99">
            <w:pPr>
              <w:ind w:left="39"/>
              <w:jc w:val="both"/>
              <w:rPr>
                <w:rFonts w:asciiTheme="minorHAnsi" w:hAnsiTheme="minorHAnsi" w:cstheme="minorHAnsi"/>
                <w:sz w:val="20"/>
                <w:szCs w:val="20"/>
              </w:rPr>
            </w:pPr>
            <w:r>
              <w:rPr>
                <w:rFonts w:asciiTheme="minorHAnsi" w:hAnsiTheme="minorHAnsi" w:cstheme="minorHAnsi"/>
                <w:sz w:val="20"/>
                <w:szCs w:val="20"/>
              </w:rPr>
              <w:t xml:space="preserve">Što se tiče troška prava puta (točka 2. komentara), isti se dodjeljuje na trasu </w:t>
            </w:r>
            <w:proofErr w:type="spellStart"/>
            <w:r>
              <w:rPr>
                <w:rFonts w:asciiTheme="minorHAnsi" w:hAnsiTheme="minorHAnsi" w:cstheme="minorHAnsi"/>
                <w:sz w:val="20"/>
                <w:szCs w:val="20"/>
              </w:rPr>
              <w:t>DTK</w:t>
            </w:r>
            <w:proofErr w:type="spellEnd"/>
            <w:r>
              <w:rPr>
                <w:rFonts w:asciiTheme="minorHAnsi" w:hAnsiTheme="minorHAnsi" w:cstheme="minorHAnsi"/>
                <w:sz w:val="20"/>
                <w:szCs w:val="20"/>
              </w:rPr>
              <w:t xml:space="preserve"> (rov s cijevima)</w:t>
            </w:r>
            <w:r w:rsidR="00DB2A38">
              <w:rPr>
                <w:rFonts w:asciiTheme="minorHAnsi" w:hAnsiTheme="minorHAnsi" w:cstheme="minorHAnsi"/>
                <w:sz w:val="20"/>
                <w:szCs w:val="20"/>
              </w:rPr>
              <w:t>,</w:t>
            </w:r>
            <w:r>
              <w:rPr>
                <w:rFonts w:asciiTheme="minorHAnsi" w:hAnsiTheme="minorHAnsi" w:cstheme="minorHAnsi"/>
                <w:sz w:val="20"/>
                <w:szCs w:val="20"/>
              </w:rPr>
              <w:t xml:space="preserve"> a potom</w:t>
            </w:r>
            <w:r w:rsidR="00DB2A38">
              <w:rPr>
                <w:rFonts w:asciiTheme="minorHAnsi" w:hAnsiTheme="minorHAnsi" w:cstheme="minorHAnsi"/>
                <w:sz w:val="20"/>
                <w:szCs w:val="20"/>
              </w:rPr>
              <w:t xml:space="preserve"> se</w:t>
            </w:r>
            <w:r>
              <w:rPr>
                <w:rFonts w:asciiTheme="minorHAnsi" w:hAnsiTheme="minorHAnsi" w:cstheme="minorHAnsi"/>
                <w:sz w:val="20"/>
                <w:szCs w:val="20"/>
              </w:rPr>
              <w:t xml:space="preserve"> kao i svi ostali troškovi raspodjeljuje na pojedine vrste cijevi.</w:t>
            </w:r>
          </w:p>
          <w:p w14:paraId="0B7D03E9" w14:textId="77777777" w:rsidR="00D9416B" w:rsidRDefault="00D9416B" w:rsidP="00C14C99">
            <w:pPr>
              <w:ind w:left="39"/>
              <w:jc w:val="both"/>
              <w:rPr>
                <w:rFonts w:asciiTheme="minorHAnsi" w:hAnsiTheme="minorHAnsi" w:cstheme="minorHAnsi"/>
                <w:sz w:val="20"/>
                <w:szCs w:val="20"/>
              </w:rPr>
            </w:pPr>
          </w:p>
          <w:p w14:paraId="44FA215D" w14:textId="0A3E1A20" w:rsidR="00D9416B" w:rsidRPr="00C14C99" w:rsidRDefault="00D9416B" w:rsidP="00C14C99">
            <w:pPr>
              <w:ind w:left="39"/>
              <w:jc w:val="both"/>
              <w:rPr>
                <w:rFonts w:asciiTheme="minorHAnsi" w:hAnsiTheme="minorHAnsi" w:cstheme="minorHAnsi"/>
                <w:sz w:val="20"/>
                <w:szCs w:val="20"/>
              </w:rPr>
            </w:pPr>
            <w:r>
              <w:rPr>
                <w:rFonts w:asciiTheme="minorHAnsi" w:hAnsiTheme="minorHAnsi" w:cstheme="minorHAnsi"/>
                <w:sz w:val="20"/>
                <w:szCs w:val="20"/>
              </w:rPr>
              <w:t xml:space="preserve">Vezano uz primjedbu HT-a na izračune postotka imovine koja još nije u cijelosti amortizirana iz dokumenta </w:t>
            </w:r>
            <w:r w:rsidRPr="00D9416B">
              <w:rPr>
                <w:rFonts w:asciiTheme="minorHAnsi" w:hAnsiTheme="minorHAnsi" w:cstheme="minorHAnsi"/>
                <w:sz w:val="20"/>
                <w:szCs w:val="20"/>
              </w:rPr>
              <w:t xml:space="preserve">„Civil </w:t>
            </w:r>
            <w:proofErr w:type="spellStart"/>
            <w:r w:rsidRPr="00D9416B">
              <w:rPr>
                <w:rFonts w:asciiTheme="minorHAnsi" w:hAnsiTheme="minorHAnsi" w:cstheme="minorHAnsi"/>
                <w:sz w:val="20"/>
                <w:szCs w:val="20"/>
              </w:rPr>
              <w:t>infrastructure</w:t>
            </w:r>
            <w:proofErr w:type="spellEnd"/>
            <w:r w:rsidRPr="00D9416B">
              <w:rPr>
                <w:rFonts w:asciiTheme="minorHAnsi" w:hAnsiTheme="minorHAnsi" w:cstheme="minorHAnsi"/>
                <w:sz w:val="20"/>
                <w:szCs w:val="20"/>
              </w:rPr>
              <w:t xml:space="preserve"> calculation-2023-za HT“</w:t>
            </w:r>
            <w:r>
              <w:rPr>
                <w:rFonts w:asciiTheme="minorHAnsi" w:hAnsiTheme="minorHAnsi" w:cstheme="minorHAnsi"/>
                <w:sz w:val="20"/>
                <w:szCs w:val="20"/>
              </w:rPr>
              <w:t xml:space="preserve"> na koje se HT poziva u točki 3. svog komentara, </w:t>
            </w:r>
            <w:r w:rsidRPr="00C14C99">
              <w:rPr>
                <w:rFonts w:asciiTheme="minorHAnsi" w:hAnsiTheme="minorHAnsi" w:cstheme="minorHAnsi"/>
                <w:sz w:val="20"/>
                <w:szCs w:val="20"/>
              </w:rPr>
              <w:t>HAKOM ističe da izračuni koje HT navodi u svom komentaru nisu usporedivi s metodologijom izračuna koja je detaljno objašnjena u odlukama o trenutno važećim cijenama veleprodajnih usluga iz veljače 2021. između ostalog i zbog:</w:t>
            </w:r>
          </w:p>
          <w:p w14:paraId="4ADEC3DA" w14:textId="2A36B694" w:rsidR="00D9416B" w:rsidRPr="00C14C99" w:rsidRDefault="00D9416B" w:rsidP="00C14C99">
            <w:pPr>
              <w:numPr>
                <w:ilvl w:val="0"/>
                <w:numId w:val="14"/>
              </w:numPr>
              <w:jc w:val="both"/>
              <w:rPr>
                <w:rFonts w:asciiTheme="minorHAnsi" w:hAnsiTheme="minorHAnsi" w:cstheme="minorHAnsi"/>
                <w:sz w:val="20"/>
                <w:szCs w:val="20"/>
              </w:rPr>
            </w:pPr>
            <w:r w:rsidRPr="00C14C99">
              <w:rPr>
                <w:rFonts w:asciiTheme="minorHAnsi" w:hAnsiTheme="minorHAnsi" w:cstheme="minorHAnsi"/>
                <w:sz w:val="20"/>
                <w:szCs w:val="20"/>
              </w:rPr>
              <w:t xml:space="preserve">HT za izračun koristi povijesne troškove, dok se izračuni prema </w:t>
            </w:r>
            <w:r w:rsidR="00DB2A38">
              <w:rPr>
                <w:rFonts w:asciiTheme="minorHAnsi" w:hAnsiTheme="minorHAnsi" w:cstheme="minorHAnsi"/>
                <w:sz w:val="20"/>
                <w:szCs w:val="20"/>
              </w:rPr>
              <w:t>P</w:t>
            </w:r>
            <w:r w:rsidRPr="00C14C99">
              <w:rPr>
                <w:rFonts w:asciiTheme="minorHAnsi" w:hAnsiTheme="minorHAnsi" w:cstheme="minorHAnsi"/>
                <w:sz w:val="20"/>
                <w:szCs w:val="20"/>
              </w:rPr>
              <w:t>reporuci</w:t>
            </w:r>
            <w:r w:rsidR="00DB2A38">
              <w:rPr>
                <w:rFonts w:asciiTheme="minorHAnsi" w:hAnsiTheme="minorHAnsi" w:cstheme="minorHAnsi"/>
                <w:sz w:val="20"/>
                <w:szCs w:val="20"/>
              </w:rPr>
              <w:t xml:space="preserve"> Europske komisije</w:t>
            </w:r>
            <w:r w:rsidRPr="00C14C99">
              <w:rPr>
                <w:rFonts w:asciiTheme="minorHAnsi" w:hAnsiTheme="minorHAnsi" w:cstheme="minorHAnsi"/>
                <w:sz w:val="20"/>
                <w:szCs w:val="20"/>
              </w:rPr>
              <w:t xml:space="preserve"> moraju temeljiti na trenutnim troškovima. U tu svrhu potrebno je napraviti </w:t>
            </w:r>
            <w:proofErr w:type="spellStart"/>
            <w:r w:rsidRPr="00C14C99">
              <w:rPr>
                <w:rFonts w:asciiTheme="minorHAnsi" w:hAnsiTheme="minorHAnsi" w:cstheme="minorHAnsi"/>
                <w:sz w:val="20"/>
                <w:szCs w:val="20"/>
              </w:rPr>
              <w:t>indeksaciju</w:t>
            </w:r>
            <w:proofErr w:type="spellEnd"/>
            <w:r w:rsidRPr="00C14C99">
              <w:rPr>
                <w:rFonts w:asciiTheme="minorHAnsi" w:hAnsiTheme="minorHAnsi" w:cstheme="minorHAnsi"/>
                <w:sz w:val="20"/>
                <w:szCs w:val="20"/>
              </w:rPr>
              <w:t xml:space="preserve"> povijesnih troškova za </w:t>
            </w:r>
            <w:proofErr w:type="spellStart"/>
            <w:r w:rsidRPr="00C14C99">
              <w:rPr>
                <w:rFonts w:asciiTheme="minorHAnsi" w:hAnsiTheme="minorHAnsi" w:cstheme="minorHAnsi"/>
                <w:sz w:val="20"/>
                <w:szCs w:val="20"/>
              </w:rPr>
              <w:t>revaluaciju</w:t>
            </w:r>
            <w:proofErr w:type="spellEnd"/>
            <w:r w:rsidRPr="00C14C99">
              <w:rPr>
                <w:rFonts w:asciiTheme="minorHAnsi" w:hAnsiTheme="minorHAnsi" w:cstheme="minorHAnsi"/>
                <w:sz w:val="20"/>
                <w:szCs w:val="20"/>
              </w:rPr>
              <w:t>.</w:t>
            </w:r>
          </w:p>
          <w:p w14:paraId="5F0C5E95" w14:textId="10071559" w:rsidR="00D9416B" w:rsidRDefault="00D9416B" w:rsidP="00C14C99">
            <w:pPr>
              <w:numPr>
                <w:ilvl w:val="0"/>
                <w:numId w:val="14"/>
              </w:numPr>
              <w:jc w:val="both"/>
              <w:rPr>
                <w:rFonts w:asciiTheme="minorHAnsi" w:hAnsiTheme="minorHAnsi" w:cstheme="minorHAnsi"/>
                <w:sz w:val="20"/>
                <w:szCs w:val="20"/>
              </w:rPr>
            </w:pPr>
            <w:r w:rsidRPr="00C14C99">
              <w:rPr>
                <w:rFonts w:asciiTheme="minorHAnsi" w:hAnsiTheme="minorHAnsi" w:cstheme="minorHAnsi"/>
                <w:sz w:val="20"/>
                <w:szCs w:val="20"/>
              </w:rPr>
              <w:t xml:space="preserve">U brojniku HT koristi </w:t>
            </w:r>
            <w:proofErr w:type="spellStart"/>
            <w:r w:rsidRPr="00C14C99">
              <w:rPr>
                <w:rFonts w:asciiTheme="minorHAnsi" w:hAnsiTheme="minorHAnsi" w:cstheme="minorHAnsi"/>
                <w:sz w:val="20"/>
                <w:szCs w:val="20"/>
              </w:rPr>
              <w:t>NBV</w:t>
            </w:r>
            <w:proofErr w:type="spellEnd"/>
            <w:r w:rsidRPr="00C14C99">
              <w:rPr>
                <w:rFonts w:asciiTheme="minorHAnsi" w:hAnsiTheme="minorHAnsi" w:cstheme="minorHAnsi"/>
                <w:sz w:val="20"/>
                <w:szCs w:val="20"/>
              </w:rPr>
              <w:t xml:space="preserve"> vrijednost imovine, što nije isti pristup koji koristi HAKOM u svom izračunu, koji u obzir uzima </w:t>
            </w:r>
            <w:proofErr w:type="spellStart"/>
            <w:r w:rsidRPr="00C14C99">
              <w:rPr>
                <w:rFonts w:asciiTheme="minorHAnsi" w:hAnsiTheme="minorHAnsi" w:cstheme="minorHAnsi"/>
                <w:sz w:val="20"/>
                <w:szCs w:val="20"/>
              </w:rPr>
              <w:t>GRC</w:t>
            </w:r>
            <w:proofErr w:type="spellEnd"/>
            <w:r w:rsidRPr="00C14C99">
              <w:rPr>
                <w:rFonts w:asciiTheme="minorHAnsi" w:hAnsiTheme="minorHAnsi" w:cstheme="minorHAnsi"/>
                <w:sz w:val="20"/>
                <w:szCs w:val="20"/>
              </w:rPr>
              <w:t xml:space="preserve"> imovine koja nije potpuno amortizirana (tj. koja još uvijek predstavlja </w:t>
            </w:r>
            <w:proofErr w:type="spellStart"/>
            <w:r w:rsidRPr="00C14C99">
              <w:rPr>
                <w:rFonts w:asciiTheme="minorHAnsi" w:hAnsiTheme="minorHAnsi" w:cstheme="minorHAnsi"/>
                <w:sz w:val="20"/>
                <w:szCs w:val="20"/>
              </w:rPr>
              <w:t>NBV</w:t>
            </w:r>
            <w:proofErr w:type="spellEnd"/>
            <w:r w:rsidRPr="00C14C99">
              <w:rPr>
                <w:rFonts w:asciiTheme="minorHAnsi" w:hAnsiTheme="minorHAnsi" w:cstheme="minorHAnsi"/>
                <w:sz w:val="20"/>
                <w:szCs w:val="20"/>
              </w:rPr>
              <w:t>)</w:t>
            </w:r>
            <w:r w:rsidR="00DB2A38">
              <w:rPr>
                <w:rFonts w:asciiTheme="minorHAnsi" w:hAnsiTheme="minorHAnsi" w:cstheme="minorHAnsi"/>
                <w:sz w:val="20"/>
                <w:szCs w:val="20"/>
              </w:rPr>
              <w:t>.</w:t>
            </w:r>
          </w:p>
          <w:p w14:paraId="49395418" w14:textId="77777777" w:rsidR="00DB2A38" w:rsidRPr="00C14C99" w:rsidRDefault="00DB2A38" w:rsidP="00C14C99">
            <w:pPr>
              <w:ind w:left="720"/>
              <w:jc w:val="both"/>
              <w:rPr>
                <w:rFonts w:asciiTheme="minorHAnsi" w:hAnsiTheme="minorHAnsi" w:cstheme="minorHAnsi"/>
                <w:sz w:val="20"/>
                <w:szCs w:val="20"/>
              </w:rPr>
            </w:pPr>
          </w:p>
          <w:p w14:paraId="7895528B" w14:textId="5AF9C2F4" w:rsidR="00D9416B" w:rsidRDefault="00D9416B" w:rsidP="00C14C99">
            <w:pPr>
              <w:ind w:left="39"/>
              <w:jc w:val="both"/>
              <w:rPr>
                <w:rFonts w:asciiTheme="minorHAnsi" w:hAnsiTheme="minorHAnsi" w:cstheme="minorHAnsi"/>
                <w:sz w:val="20"/>
                <w:szCs w:val="20"/>
              </w:rPr>
            </w:pPr>
            <w:r w:rsidRPr="00C14C99">
              <w:rPr>
                <w:rFonts w:asciiTheme="minorHAnsi" w:hAnsiTheme="minorHAnsi" w:cstheme="minorHAnsi"/>
                <w:sz w:val="20"/>
                <w:szCs w:val="20"/>
              </w:rPr>
              <w:t>Iz navedenih razloga, HAKOM smatra da primjedbe HT-a</w:t>
            </w:r>
            <w:r w:rsidR="00E40B55">
              <w:rPr>
                <w:rFonts w:asciiTheme="minorHAnsi" w:hAnsiTheme="minorHAnsi" w:cstheme="minorHAnsi"/>
                <w:sz w:val="20"/>
                <w:szCs w:val="20"/>
              </w:rPr>
              <w:t xml:space="preserve"> vezano uz </w:t>
            </w:r>
            <w:r w:rsidRPr="00C14C99">
              <w:rPr>
                <w:rFonts w:asciiTheme="minorHAnsi" w:hAnsiTheme="minorHAnsi" w:cstheme="minorHAnsi"/>
                <w:sz w:val="20"/>
                <w:szCs w:val="20"/>
              </w:rPr>
              <w:t xml:space="preserve"> </w:t>
            </w:r>
            <w:r w:rsidR="00E40B55" w:rsidRPr="00E40B55">
              <w:rPr>
                <w:rFonts w:asciiTheme="minorHAnsi" w:hAnsiTheme="minorHAnsi" w:cstheme="minorHAnsi"/>
                <w:sz w:val="20"/>
                <w:szCs w:val="20"/>
              </w:rPr>
              <w:t>izračune postotka imovine koja još nije u cijelosti amortizirana</w:t>
            </w:r>
            <w:r w:rsidR="00E40B55">
              <w:rPr>
                <w:rFonts w:asciiTheme="minorHAnsi" w:hAnsiTheme="minorHAnsi" w:cstheme="minorHAnsi"/>
                <w:sz w:val="20"/>
                <w:szCs w:val="20"/>
              </w:rPr>
              <w:t xml:space="preserve">, </w:t>
            </w:r>
            <w:r w:rsidRPr="00C14C99">
              <w:rPr>
                <w:rFonts w:asciiTheme="minorHAnsi" w:hAnsiTheme="minorHAnsi" w:cstheme="minorHAnsi"/>
                <w:sz w:val="20"/>
                <w:szCs w:val="20"/>
              </w:rPr>
              <w:t>nisu prihvatljive.</w:t>
            </w:r>
          </w:p>
          <w:p w14:paraId="3AB8E42E" w14:textId="546397D1" w:rsidR="00E40B55" w:rsidRDefault="00E40B55" w:rsidP="00C14C99">
            <w:pPr>
              <w:ind w:left="39"/>
              <w:jc w:val="both"/>
              <w:rPr>
                <w:rFonts w:asciiTheme="minorHAnsi" w:hAnsiTheme="minorHAnsi" w:cstheme="minorHAnsi"/>
                <w:sz w:val="20"/>
                <w:szCs w:val="20"/>
              </w:rPr>
            </w:pPr>
          </w:p>
          <w:p w14:paraId="044729BA" w14:textId="47C5AFE4" w:rsidR="00132EA6" w:rsidRPr="001A0327" w:rsidRDefault="00E40B55" w:rsidP="00C14C99">
            <w:pPr>
              <w:ind w:left="39"/>
              <w:jc w:val="both"/>
              <w:rPr>
                <w:rFonts w:asciiTheme="minorHAnsi" w:hAnsiTheme="minorHAnsi" w:cstheme="minorHAnsi"/>
                <w:b/>
                <w:sz w:val="20"/>
                <w:szCs w:val="20"/>
              </w:rPr>
            </w:pPr>
            <w:r>
              <w:rPr>
                <w:rFonts w:asciiTheme="minorHAnsi" w:hAnsiTheme="minorHAnsi" w:cstheme="minorHAnsi"/>
                <w:sz w:val="20"/>
                <w:szCs w:val="20"/>
              </w:rPr>
              <w:t xml:space="preserve">Što se tiče samog načina </w:t>
            </w:r>
            <w:r w:rsidRPr="00E40B55">
              <w:rPr>
                <w:rFonts w:asciiTheme="minorHAnsi" w:hAnsiTheme="minorHAnsi" w:cstheme="minorHAnsi"/>
                <w:sz w:val="20"/>
                <w:szCs w:val="20"/>
              </w:rPr>
              <w:t>izračuna troškova i mjesečnih naknada za najam cijevi kabelske kanalizacije</w:t>
            </w:r>
            <w:r>
              <w:rPr>
                <w:rFonts w:asciiTheme="minorHAnsi" w:hAnsiTheme="minorHAnsi" w:cstheme="minorHAnsi"/>
                <w:sz w:val="20"/>
                <w:szCs w:val="20"/>
              </w:rPr>
              <w:t>, HAKOM će uzimajući u obzir prijedlog HT-a i ostalih operatora, odgoditi donošenje odluke o određivanju tih naknada. HAKOM će provesti dodatne konzultacije s operatorima kako bi se dodatno pojasnio prijedlog HAKOM-a te kako bi i operatori mogli dodatno pojasniti svoje prijedloge i primjedbe vezano uz predloženi način izračuna.</w:t>
            </w:r>
          </w:p>
        </w:tc>
      </w:tr>
      <w:tr w:rsidR="00132EA6" w:rsidRPr="001A0327" w14:paraId="509BC0DD"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A19F0C8" w14:textId="64CB4307" w:rsidR="00132EA6" w:rsidRPr="001A0327" w:rsidRDefault="00132EA6" w:rsidP="00132EA6">
            <w:pPr>
              <w:rPr>
                <w:rFonts w:asciiTheme="minorHAnsi" w:hAnsiTheme="minorHAnsi" w:cstheme="minorHAnsi"/>
                <w:sz w:val="20"/>
                <w:szCs w:val="20"/>
              </w:rPr>
            </w:pPr>
            <w:r w:rsidRPr="001A0327">
              <w:rPr>
                <w:rFonts w:asciiTheme="minorHAnsi" w:hAnsiTheme="minorHAnsi" w:cstheme="minorHAnsi"/>
                <w:sz w:val="20"/>
                <w:szCs w:val="20"/>
              </w:rPr>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03733F3" w14:textId="3218363B" w:rsidR="00132EA6" w:rsidRPr="001A0327" w:rsidRDefault="00132EA6" w:rsidP="00132EA6">
            <w:pPr>
              <w:rPr>
                <w:rFonts w:asciiTheme="minorHAnsi" w:hAnsiTheme="minorHAnsi" w:cstheme="minorHAnsi"/>
                <w:sz w:val="20"/>
                <w:szCs w:val="20"/>
              </w:rPr>
            </w:pPr>
            <w:r w:rsidRPr="001A0327">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7032150" w14:textId="77777777" w:rsidR="00132EA6" w:rsidRPr="001A0327" w:rsidRDefault="00132EA6" w:rsidP="00132EA6">
            <w:pPr>
              <w:pStyle w:val="ListParagraph"/>
              <w:ind w:left="-110"/>
              <w:jc w:val="both"/>
              <w:rPr>
                <w:rFonts w:asciiTheme="minorHAnsi" w:hAnsiTheme="minorHAnsi" w:cstheme="minorHAnsi"/>
                <w:sz w:val="20"/>
                <w:szCs w:val="20"/>
              </w:rPr>
            </w:pPr>
            <w:r w:rsidRPr="001A0327">
              <w:rPr>
                <w:rFonts w:asciiTheme="minorHAnsi" w:hAnsiTheme="minorHAnsi" w:cstheme="minorHAnsi"/>
                <w:sz w:val="20"/>
                <w:szCs w:val="20"/>
              </w:rPr>
              <w:t>A1 smatra da je HAKOM napravio pogrešku kod primjene postotka koji se odnosi na trošak cijevi u odnosu na ukupni trošak kanala (</w:t>
            </w:r>
            <w:proofErr w:type="spellStart"/>
            <w:r w:rsidRPr="001A0327">
              <w:rPr>
                <w:rFonts w:asciiTheme="minorHAnsi" w:hAnsiTheme="minorHAnsi" w:cstheme="minorHAnsi"/>
                <w:i/>
                <w:sz w:val="20"/>
                <w:szCs w:val="20"/>
              </w:rPr>
              <w:t>Cost</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of</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ducts</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over</w:t>
            </w:r>
            <w:proofErr w:type="spellEnd"/>
            <w:r w:rsidRPr="001A0327">
              <w:rPr>
                <w:rFonts w:asciiTheme="minorHAnsi" w:hAnsiTheme="minorHAnsi" w:cstheme="minorHAnsi"/>
                <w:i/>
                <w:sz w:val="20"/>
                <w:szCs w:val="20"/>
              </w:rPr>
              <w:t xml:space="preserve"> total </w:t>
            </w:r>
            <w:proofErr w:type="spellStart"/>
            <w:r w:rsidRPr="001A0327">
              <w:rPr>
                <w:rFonts w:asciiTheme="minorHAnsi" w:hAnsiTheme="minorHAnsi" w:cstheme="minorHAnsi"/>
                <w:i/>
                <w:sz w:val="20"/>
                <w:szCs w:val="20"/>
              </w:rPr>
              <w:t>trench</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cost</w:t>
            </w:r>
            <w:proofErr w:type="spellEnd"/>
            <w:r w:rsidRPr="001A0327">
              <w:rPr>
                <w:rFonts w:asciiTheme="minorHAnsi" w:hAnsiTheme="minorHAnsi" w:cstheme="minorHAnsi"/>
                <w:sz w:val="20"/>
                <w:szCs w:val="20"/>
              </w:rPr>
              <w:t>), odnosno da je isti trebao primijeniti kod izračuna bruto troška zamjene (</w:t>
            </w:r>
            <w:proofErr w:type="spellStart"/>
            <w:r w:rsidRPr="001A0327">
              <w:rPr>
                <w:rFonts w:asciiTheme="minorHAnsi" w:hAnsiTheme="minorHAnsi" w:cstheme="minorHAnsi"/>
                <w:i/>
                <w:sz w:val="20"/>
                <w:szCs w:val="20"/>
              </w:rPr>
              <w:t>Gross</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Replacement</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Costs</w:t>
            </w:r>
            <w:proofErr w:type="spellEnd"/>
            <w:r w:rsidRPr="001A0327">
              <w:rPr>
                <w:rFonts w:asciiTheme="minorHAnsi" w:hAnsiTheme="minorHAnsi" w:cstheme="minorHAnsi"/>
                <w:sz w:val="20"/>
                <w:szCs w:val="20"/>
              </w:rPr>
              <w:t xml:space="preserve">) te na tako izračunati ukupni trošak dalje primjenjivati dodatke (postotke) koji se odnose na </w:t>
            </w:r>
            <w:proofErr w:type="spellStart"/>
            <w:r w:rsidRPr="001A0327">
              <w:rPr>
                <w:rFonts w:asciiTheme="minorHAnsi" w:hAnsiTheme="minorHAnsi" w:cstheme="minorHAnsi"/>
                <w:sz w:val="20"/>
                <w:szCs w:val="20"/>
              </w:rPr>
              <w:t>OPEX</w:t>
            </w:r>
            <w:proofErr w:type="spellEnd"/>
            <w:r w:rsidRPr="001A0327">
              <w:rPr>
                <w:rFonts w:asciiTheme="minorHAnsi" w:hAnsiTheme="minorHAnsi" w:cstheme="minorHAnsi"/>
                <w:sz w:val="20"/>
                <w:szCs w:val="20"/>
              </w:rPr>
              <w:t xml:space="preserve"> i ostale troškove. U dijelu u kojem primjenjuje navedeni postotak (15,46%) HAKOM čak i u naslovu navodi da se isti primjenjuje na </w:t>
            </w:r>
            <w:proofErr w:type="spellStart"/>
            <w:r w:rsidRPr="001A0327">
              <w:rPr>
                <w:rFonts w:asciiTheme="minorHAnsi" w:hAnsiTheme="minorHAnsi" w:cstheme="minorHAnsi"/>
                <w:sz w:val="20"/>
                <w:szCs w:val="20"/>
              </w:rPr>
              <w:t>CAPEX</w:t>
            </w:r>
            <w:proofErr w:type="spellEnd"/>
            <w:r w:rsidRPr="001A0327">
              <w:rPr>
                <w:rFonts w:asciiTheme="minorHAnsi" w:hAnsiTheme="minorHAnsi" w:cstheme="minorHAnsi"/>
                <w:sz w:val="20"/>
                <w:szCs w:val="20"/>
              </w:rPr>
              <w:t xml:space="preserve"> (</w:t>
            </w:r>
            <w:r w:rsidRPr="001A0327">
              <w:rPr>
                <w:rFonts w:asciiTheme="minorHAnsi" w:hAnsiTheme="minorHAnsi" w:cstheme="minorHAnsi"/>
                <w:i/>
                <w:sz w:val="20"/>
                <w:szCs w:val="20"/>
              </w:rPr>
              <w:t xml:space="preserve">Resources </w:t>
            </w:r>
            <w:proofErr w:type="spellStart"/>
            <w:r w:rsidRPr="001A0327">
              <w:rPr>
                <w:rFonts w:asciiTheme="minorHAnsi" w:hAnsiTheme="minorHAnsi" w:cstheme="minorHAnsi"/>
                <w:i/>
                <w:sz w:val="20"/>
                <w:szCs w:val="20"/>
              </w:rPr>
              <w:t>capex</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with</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the</w:t>
            </w:r>
            <w:proofErr w:type="spellEnd"/>
            <w:r w:rsidRPr="001A0327">
              <w:rPr>
                <w:rFonts w:asciiTheme="minorHAnsi" w:hAnsiTheme="minorHAnsi" w:cstheme="minorHAnsi"/>
                <w:i/>
                <w:sz w:val="20"/>
                <w:szCs w:val="20"/>
              </w:rPr>
              <w:t xml:space="preserve"> civil </w:t>
            </w:r>
            <w:proofErr w:type="spellStart"/>
            <w:r w:rsidRPr="001A0327">
              <w:rPr>
                <w:rFonts w:asciiTheme="minorHAnsi" w:hAnsiTheme="minorHAnsi" w:cstheme="minorHAnsi"/>
                <w:i/>
                <w:sz w:val="20"/>
                <w:szCs w:val="20"/>
              </w:rPr>
              <w:t>infrastructure</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percentage</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applied</w:t>
            </w:r>
            <w:proofErr w:type="spellEnd"/>
            <w:r w:rsidRPr="001A0327">
              <w:rPr>
                <w:rFonts w:asciiTheme="minorHAnsi" w:hAnsiTheme="minorHAnsi" w:cstheme="minorHAnsi"/>
                <w:i/>
                <w:sz w:val="20"/>
                <w:szCs w:val="20"/>
              </w:rPr>
              <w:t xml:space="preserve"> + </w:t>
            </w:r>
            <w:proofErr w:type="spellStart"/>
            <w:r w:rsidRPr="001A0327">
              <w:rPr>
                <w:rFonts w:asciiTheme="minorHAnsi" w:hAnsiTheme="minorHAnsi" w:cstheme="minorHAnsi"/>
                <w:i/>
                <w:sz w:val="20"/>
                <w:szCs w:val="20"/>
              </w:rPr>
              <w:t>right</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of</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way</w:t>
            </w:r>
            <w:proofErr w:type="spellEnd"/>
            <w:r w:rsidRPr="001A0327">
              <w:rPr>
                <w:rFonts w:asciiTheme="minorHAnsi" w:hAnsiTheme="minorHAnsi" w:cstheme="minorHAnsi"/>
                <w:i/>
                <w:sz w:val="20"/>
                <w:szCs w:val="20"/>
              </w:rPr>
              <w:t xml:space="preserve"> </w:t>
            </w:r>
            <w:proofErr w:type="spellStart"/>
            <w:r w:rsidRPr="001A0327">
              <w:rPr>
                <w:rFonts w:asciiTheme="minorHAnsi" w:hAnsiTheme="minorHAnsi" w:cstheme="minorHAnsi"/>
                <w:i/>
                <w:sz w:val="20"/>
                <w:szCs w:val="20"/>
              </w:rPr>
              <w:t>mark-up</w:t>
            </w:r>
            <w:proofErr w:type="spellEnd"/>
            <w:r w:rsidRPr="001A0327">
              <w:rPr>
                <w:rFonts w:asciiTheme="minorHAnsi" w:hAnsiTheme="minorHAnsi" w:cstheme="minorHAnsi"/>
                <w:sz w:val="20"/>
                <w:szCs w:val="20"/>
              </w:rPr>
              <w:t>), ali u formuli se vidi da je isti primijenjen na ukupne troškove (</w:t>
            </w:r>
            <w:proofErr w:type="spellStart"/>
            <w:r w:rsidRPr="001A0327">
              <w:rPr>
                <w:rFonts w:asciiTheme="minorHAnsi" w:hAnsiTheme="minorHAnsi" w:cstheme="minorHAnsi"/>
                <w:sz w:val="20"/>
                <w:szCs w:val="20"/>
              </w:rPr>
              <w:t>CAPEX</w:t>
            </w:r>
            <w:proofErr w:type="spellEnd"/>
            <w:r w:rsidRPr="001A0327">
              <w:rPr>
                <w:rFonts w:asciiTheme="minorHAnsi" w:hAnsiTheme="minorHAnsi" w:cstheme="minorHAnsi"/>
                <w:sz w:val="20"/>
                <w:szCs w:val="20"/>
              </w:rPr>
              <w:t xml:space="preserve"> + </w:t>
            </w:r>
            <w:proofErr w:type="spellStart"/>
            <w:r w:rsidRPr="001A0327">
              <w:rPr>
                <w:rFonts w:asciiTheme="minorHAnsi" w:hAnsiTheme="minorHAnsi" w:cstheme="minorHAnsi"/>
                <w:sz w:val="20"/>
                <w:szCs w:val="20"/>
              </w:rPr>
              <w:t>OPEX</w:t>
            </w:r>
            <w:proofErr w:type="spellEnd"/>
            <w:r w:rsidRPr="001A0327">
              <w:rPr>
                <w:rFonts w:asciiTheme="minorHAnsi" w:hAnsiTheme="minorHAnsi" w:cstheme="minorHAnsi"/>
                <w:sz w:val="20"/>
                <w:szCs w:val="20"/>
              </w:rPr>
              <w:t xml:space="preserve">). Dodatno, iako se navedeno može dodatno definirati u postupku određivanja cijena, A1 već sada napominje da je za cijevi velikog promjera (50-110 mm) potrebno predvidjeti naplatu po zauzeću cijevi iz razloga što cijevi malog promjera i </w:t>
            </w:r>
            <w:proofErr w:type="spellStart"/>
            <w:r w:rsidRPr="001A0327">
              <w:rPr>
                <w:rFonts w:asciiTheme="minorHAnsi" w:hAnsiTheme="minorHAnsi" w:cstheme="minorHAnsi"/>
                <w:sz w:val="20"/>
                <w:szCs w:val="20"/>
              </w:rPr>
              <w:t>mikrocijevi</w:t>
            </w:r>
            <w:proofErr w:type="spellEnd"/>
            <w:r w:rsidRPr="001A0327">
              <w:rPr>
                <w:rFonts w:asciiTheme="minorHAnsi" w:hAnsiTheme="minorHAnsi" w:cstheme="minorHAnsi"/>
                <w:sz w:val="20"/>
                <w:szCs w:val="20"/>
              </w:rPr>
              <w:t xml:space="preserve"> koje uvlače operatori korisnici ostaju u njihovom vlasništvu pa se za njih više neće plaćati najam već isključivo površina zauzeća navedenih cijevi u cijevima u koje su iste uvučene.</w:t>
            </w:r>
          </w:p>
          <w:p w14:paraId="132A254D" w14:textId="4A7531D9" w:rsidR="00132EA6" w:rsidRPr="001A0327" w:rsidRDefault="00132EA6" w:rsidP="00132EA6">
            <w:pPr>
              <w:ind w:left="-110"/>
              <w:jc w:val="both"/>
              <w:rPr>
                <w:rFonts w:asciiTheme="minorHAnsi" w:hAnsiTheme="minorHAnsi" w:cstheme="minorHAnsi"/>
                <w:sz w:val="20"/>
                <w:szCs w:val="20"/>
              </w:rPr>
            </w:pPr>
          </w:p>
        </w:tc>
        <w:tc>
          <w:tcPr>
            <w:tcW w:w="1936" w:type="pct"/>
            <w:tcBorders>
              <w:top w:val="single" w:sz="6" w:space="0" w:color="CCCCCC"/>
              <w:left w:val="single" w:sz="6" w:space="0" w:color="CCCCCC"/>
              <w:bottom w:val="single" w:sz="6" w:space="0" w:color="CCCCCC"/>
              <w:right w:val="single" w:sz="6" w:space="0" w:color="CCCCCC"/>
            </w:tcBorders>
          </w:tcPr>
          <w:p w14:paraId="52E5AFF2" w14:textId="0344DBA3" w:rsidR="00132EA6" w:rsidRPr="00C14C99" w:rsidRDefault="008509C9" w:rsidP="00C14C99">
            <w:pPr>
              <w:ind w:left="39"/>
              <w:jc w:val="both"/>
              <w:rPr>
                <w:rFonts w:asciiTheme="minorHAnsi" w:hAnsiTheme="minorHAnsi" w:cstheme="minorHAnsi"/>
                <w:sz w:val="20"/>
                <w:szCs w:val="20"/>
              </w:rPr>
            </w:pPr>
            <w:r>
              <w:rPr>
                <w:rFonts w:asciiTheme="minorHAnsi" w:hAnsiTheme="minorHAnsi" w:cstheme="minorHAnsi"/>
                <w:sz w:val="20"/>
                <w:szCs w:val="20"/>
              </w:rPr>
              <w:t xml:space="preserve">HAKOM zahvaljuje na konstruktivnom prijedlogu. Međutim, </w:t>
            </w:r>
            <w:r w:rsidR="00E40B55" w:rsidRPr="00C14C99">
              <w:rPr>
                <w:rFonts w:asciiTheme="minorHAnsi" w:hAnsiTheme="minorHAnsi" w:cstheme="minorHAnsi"/>
                <w:sz w:val="20"/>
                <w:szCs w:val="20"/>
              </w:rPr>
              <w:t>HAKOM će uzimajući u obzir prijedlog</w:t>
            </w:r>
            <w:r w:rsidR="00E40B55">
              <w:rPr>
                <w:rFonts w:asciiTheme="minorHAnsi" w:hAnsiTheme="minorHAnsi" w:cstheme="minorHAnsi"/>
                <w:sz w:val="20"/>
                <w:szCs w:val="20"/>
              </w:rPr>
              <w:t>e</w:t>
            </w:r>
            <w:r w:rsidR="00E40B55" w:rsidRPr="00C14C99">
              <w:rPr>
                <w:rFonts w:asciiTheme="minorHAnsi" w:hAnsiTheme="minorHAnsi" w:cstheme="minorHAnsi"/>
                <w:sz w:val="20"/>
                <w:szCs w:val="20"/>
              </w:rPr>
              <w:t xml:space="preserve"> operatora, odgoditi do</w:t>
            </w:r>
            <w:r w:rsidR="00E40B55">
              <w:rPr>
                <w:rFonts w:asciiTheme="minorHAnsi" w:hAnsiTheme="minorHAnsi" w:cstheme="minorHAnsi"/>
                <w:sz w:val="20"/>
                <w:szCs w:val="20"/>
              </w:rPr>
              <w:t>nošenje odluke o određivanju</w:t>
            </w:r>
            <w:r w:rsidR="00E40B55" w:rsidRPr="00E40B55">
              <w:rPr>
                <w:rFonts w:asciiTheme="minorHAnsi" w:hAnsiTheme="minorHAnsi" w:cstheme="minorHAnsi"/>
                <w:sz w:val="20"/>
                <w:szCs w:val="20"/>
              </w:rPr>
              <w:t xml:space="preserve"> načina izračuna troškova i mjesečnih naknada za najam cijevi kabelske kanalizacije</w:t>
            </w:r>
            <w:r w:rsidR="00E40B55" w:rsidRPr="00C14C99">
              <w:rPr>
                <w:rFonts w:asciiTheme="minorHAnsi" w:hAnsiTheme="minorHAnsi" w:cstheme="minorHAnsi"/>
                <w:sz w:val="20"/>
                <w:szCs w:val="20"/>
              </w:rPr>
              <w:t>. HAKOM će provesti dodatne konzultacije s operatorima kako bi se dodatno pojasnio prijedlog HAKOM-a te kako bi i operatori mogli dodatno pojasniti svoje prijedloge i primjedbe vezano uz predloženi način izračuna.</w:t>
            </w:r>
          </w:p>
        </w:tc>
      </w:tr>
      <w:tr w:rsidR="00132EA6" w:rsidRPr="001A0327" w14:paraId="447661FC"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6831FEC1" w14:textId="04816378" w:rsidR="00132EA6" w:rsidRPr="001A0327" w:rsidRDefault="00132EA6" w:rsidP="00132EA6">
            <w:pPr>
              <w:rPr>
                <w:rFonts w:asciiTheme="minorHAnsi" w:hAnsiTheme="minorHAnsi" w:cstheme="minorHAnsi"/>
                <w:sz w:val="20"/>
                <w:szCs w:val="20"/>
              </w:rPr>
            </w:pPr>
            <w:r w:rsidRPr="001A0327">
              <w:rPr>
                <w:rFonts w:asciiTheme="minorHAnsi" w:hAnsiTheme="minorHAnsi" w:cstheme="minorHAnsi"/>
                <w:sz w:val="20"/>
                <w:szCs w:val="20"/>
              </w:rPr>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1072786" w14:textId="47C9E241" w:rsidR="00132EA6" w:rsidRPr="001A0327" w:rsidRDefault="00132EA6" w:rsidP="00132EA6">
            <w:pPr>
              <w:rPr>
                <w:rFonts w:asciiTheme="minorHAnsi" w:hAnsiTheme="minorHAnsi" w:cstheme="minorHAnsi"/>
                <w:sz w:val="20"/>
                <w:szCs w:val="20"/>
              </w:rPr>
            </w:pPr>
            <w:proofErr w:type="spellStart"/>
            <w:r w:rsidRPr="001A0327">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D991FA2" w14:textId="77777777" w:rsidR="00132EA6" w:rsidRPr="001A0327" w:rsidRDefault="00132EA6" w:rsidP="00132EA6">
            <w:pPr>
              <w:pStyle w:val="ListParagraph"/>
              <w:ind w:left="-110"/>
              <w:jc w:val="both"/>
              <w:rPr>
                <w:rFonts w:asciiTheme="minorHAnsi" w:hAnsiTheme="minorHAnsi" w:cstheme="minorHAnsi"/>
                <w:sz w:val="20"/>
                <w:szCs w:val="20"/>
              </w:rPr>
            </w:pPr>
            <w:r w:rsidRPr="001A0327">
              <w:rPr>
                <w:rFonts w:asciiTheme="minorHAnsi" w:hAnsiTheme="minorHAnsi" w:cstheme="minorHAnsi"/>
                <w:sz w:val="20"/>
                <w:szCs w:val="20"/>
              </w:rPr>
              <w:t xml:space="preserve">U odnosu na predloženi način izračuna troškova i mjesečnih naknada za najam cijevi kabelske kanalizacije, </w:t>
            </w:r>
            <w:proofErr w:type="spellStart"/>
            <w:r w:rsidRPr="001A0327">
              <w:rPr>
                <w:rFonts w:asciiTheme="minorHAnsi" w:hAnsiTheme="minorHAnsi" w:cstheme="minorHAnsi"/>
                <w:sz w:val="20"/>
                <w:szCs w:val="20"/>
              </w:rPr>
              <w:t>Telemach</w:t>
            </w:r>
            <w:proofErr w:type="spellEnd"/>
            <w:r w:rsidRPr="001A0327">
              <w:rPr>
                <w:rFonts w:asciiTheme="minorHAnsi" w:hAnsiTheme="minorHAnsi" w:cstheme="minorHAnsi"/>
                <w:sz w:val="20"/>
                <w:szCs w:val="20"/>
              </w:rPr>
              <w:t xml:space="preserve"> ističe kako se konačno predložena cijena HAKOM-a treba drastično smanjiti obzirom da je inkrement novo izgrađenih cijevi kabelske kanalizacije izuzetno nizak u odnosu na postojeće stanje. Štoviše, u posljednjih nekoliko godina zaista nema intenzivne gradnje novih trasa kabelske kanalizacije, a postojeće trase su velikim dijelom amortizirane. Slijedom toga, ako je i došlo do povećanja troška u izgradnji cijevi kabelske kanalizacije, tako uvećani trošak može se primijeniti isključivo na novoizgrađeni dio, drugim riječima isključivo na proporcionalni dio novoizgrađenih cijevi u odnosu na postojeću, i to najvećim dijelom (82% prema podatku iz Troškovnog modela), amortiziranu kabelsku kanalizaciju. </w:t>
            </w:r>
          </w:p>
          <w:p w14:paraId="165F4B1E" w14:textId="77777777" w:rsidR="00132EA6" w:rsidRPr="001A0327" w:rsidRDefault="00132EA6" w:rsidP="00132EA6">
            <w:pPr>
              <w:pStyle w:val="ListParagraph"/>
              <w:ind w:left="-110"/>
              <w:jc w:val="both"/>
              <w:rPr>
                <w:rFonts w:asciiTheme="minorHAnsi" w:hAnsiTheme="minorHAnsi" w:cstheme="minorHAnsi"/>
                <w:sz w:val="20"/>
                <w:szCs w:val="20"/>
              </w:rPr>
            </w:pPr>
          </w:p>
          <w:p w14:paraId="60D17964" w14:textId="26A9227D" w:rsidR="00132EA6" w:rsidRDefault="00132EA6" w:rsidP="00132EA6">
            <w:pPr>
              <w:pStyle w:val="ListParagraph"/>
              <w:ind w:left="-110"/>
              <w:jc w:val="both"/>
              <w:rPr>
                <w:rFonts w:asciiTheme="minorHAnsi" w:hAnsiTheme="minorHAnsi" w:cstheme="minorHAnsi"/>
                <w:sz w:val="20"/>
                <w:szCs w:val="20"/>
              </w:rPr>
            </w:pPr>
            <w:r w:rsidRPr="001A0327">
              <w:rPr>
                <w:rFonts w:asciiTheme="minorHAnsi" w:hAnsiTheme="minorHAnsi" w:cstheme="minorHAnsi"/>
                <w:sz w:val="20"/>
                <w:szCs w:val="20"/>
              </w:rPr>
              <w:t xml:space="preserve">Dalje, </w:t>
            </w:r>
            <w:proofErr w:type="spellStart"/>
            <w:r w:rsidRPr="001A0327">
              <w:rPr>
                <w:rFonts w:asciiTheme="minorHAnsi" w:hAnsiTheme="minorHAnsi" w:cstheme="minorHAnsi"/>
                <w:sz w:val="20"/>
                <w:szCs w:val="20"/>
              </w:rPr>
              <w:t>Telemach</w:t>
            </w:r>
            <w:proofErr w:type="spellEnd"/>
            <w:r w:rsidRPr="001A0327">
              <w:rPr>
                <w:rFonts w:asciiTheme="minorHAnsi" w:hAnsiTheme="minorHAnsi" w:cstheme="minorHAnsi"/>
                <w:sz w:val="20"/>
                <w:szCs w:val="20"/>
              </w:rPr>
              <w:t xml:space="preserve"> ističe kako na predloženu cijenu najma utječe izmjena kojom operatori korisnici, sukladno novom Pravilniku o načinu i uvjetima pristupa, </w:t>
            </w:r>
            <w:proofErr w:type="spellStart"/>
            <w:r w:rsidRPr="001A0327">
              <w:rPr>
                <w:rFonts w:asciiTheme="minorHAnsi" w:hAnsiTheme="minorHAnsi" w:cstheme="minorHAnsi"/>
                <w:sz w:val="20"/>
                <w:szCs w:val="20"/>
              </w:rPr>
              <w:t>kolokacije</w:t>
            </w:r>
            <w:proofErr w:type="spellEnd"/>
            <w:r w:rsidRPr="001A0327">
              <w:rPr>
                <w:rFonts w:asciiTheme="minorHAnsi" w:hAnsiTheme="minorHAnsi" w:cstheme="minorHAnsi"/>
                <w:sz w:val="20"/>
                <w:szCs w:val="20"/>
              </w:rPr>
              <w:t xml:space="preserve"> i zajedničkog korištenja elektroničke komunikacijske infrastrukture i druge povezane opreme (dalje: Pravilnik) koji je stupio na snagu dana 27.6.2023., nemaju više pravo na refundaciju iznosa uloženih za cijevi i materijal odnosno svih troškova potrebnih za uvlačenje kabela operatora korisnika u kabelsku kanalizaciju HT-a čime troškovi operatora korisnika rastu. Slijedom navedenog, od dana stupanja na snagu Pravilnika, troškovi cijevi i materijala koji se više ne refundiraju trebaju biti isključeni iz nove troškovno orijentirane cijene najma obzirom da su isti u potpunosti financirani od strane operatora korisnika i ne predstavljaju nikakav trošak za HT. </w:t>
            </w:r>
          </w:p>
          <w:p w14:paraId="419CEA27" w14:textId="77777777" w:rsidR="00653F04" w:rsidRPr="001A0327" w:rsidRDefault="00653F04" w:rsidP="00132EA6">
            <w:pPr>
              <w:pStyle w:val="ListParagraph"/>
              <w:ind w:left="-110"/>
              <w:jc w:val="both"/>
              <w:rPr>
                <w:rFonts w:asciiTheme="minorHAnsi" w:hAnsiTheme="minorHAnsi" w:cstheme="minorHAnsi"/>
                <w:sz w:val="20"/>
                <w:szCs w:val="20"/>
              </w:rPr>
            </w:pPr>
          </w:p>
          <w:p w14:paraId="6A8431B8" w14:textId="5F2AD3B5" w:rsidR="00132EA6" w:rsidRPr="001A0327" w:rsidRDefault="00132EA6" w:rsidP="00132EA6">
            <w:pPr>
              <w:ind w:left="-110"/>
              <w:jc w:val="both"/>
              <w:rPr>
                <w:rFonts w:asciiTheme="minorHAnsi" w:hAnsiTheme="minorHAnsi" w:cstheme="minorHAnsi"/>
                <w:sz w:val="20"/>
                <w:szCs w:val="20"/>
              </w:rPr>
            </w:pPr>
            <w:r w:rsidRPr="001A0327">
              <w:rPr>
                <w:rFonts w:asciiTheme="minorHAnsi" w:hAnsiTheme="minorHAnsi" w:cstheme="minorHAnsi"/>
                <w:sz w:val="20"/>
                <w:szCs w:val="20"/>
              </w:rPr>
              <w:t xml:space="preserve">U odnosu na cijene materijala i ugradnje različitih konfiguracija cijevi kabelske kanalizacije, a koje je HAKOM izdvojio iz standardne ponude referentnog operatora, točnije Standardne ponude HT-a o načinu i uvjetima pristupa i zajedničkog korištenja elektroničke komunikacijske infrastrukture i povezane opreme (od 27.9.2023.) opreza radi ukazujemo kako je bilo nužno uzeti u obzir isključivo Troškovnik radova i materijala koji je u primjeni bio od 1.1.2023. godine, a ne nikako HT-ov izmijenjeni Troškovnik radova i materijala. Naime, </w:t>
            </w:r>
            <w:proofErr w:type="spellStart"/>
            <w:r w:rsidRPr="001A0327">
              <w:rPr>
                <w:rFonts w:asciiTheme="minorHAnsi" w:hAnsiTheme="minorHAnsi" w:cstheme="minorHAnsi"/>
                <w:sz w:val="20"/>
                <w:szCs w:val="20"/>
              </w:rPr>
              <w:t>Telemach</w:t>
            </w:r>
            <w:proofErr w:type="spellEnd"/>
            <w:r w:rsidRPr="001A0327">
              <w:rPr>
                <w:rFonts w:asciiTheme="minorHAnsi" w:hAnsiTheme="minorHAnsi" w:cstheme="minorHAnsi"/>
                <w:sz w:val="20"/>
                <w:szCs w:val="20"/>
              </w:rPr>
              <w:t xml:space="preserve"> podsjeća da je HT nakon stupanja na snagu novog Pravilnika objavio novu Standardnu ponudu u kojoj je izmijenio Troškovnik radova (Dodatak 6) i značajno podigao cijene navedene u Troškovniku radova i materijala. Potom je po nalogu HAKOM-a HT ponovno objavio izmijenjenu Standardnu ponudu s trenutno važećim cijenama radova i materijala. Slijedom navedenog, očito je kako je HT namjerno nakon što su operatori izgubili pravo na refundaciju troškova koju je HT godinama isplaćivao po važećem Troškovniku pokušao podignuo cijene u Troškovniku radova i materijala s ciljem drastičnog povećanja kako veleprodajne cijene najma cijevi kabelske kanalizacije tako i ostalih veleprodajnih cijena u koje su uračunati troškovi izgradnje. Stoga, opreza radi </w:t>
            </w:r>
            <w:proofErr w:type="spellStart"/>
            <w:r w:rsidRPr="001A0327">
              <w:rPr>
                <w:rFonts w:asciiTheme="minorHAnsi" w:hAnsiTheme="minorHAnsi" w:cstheme="minorHAnsi"/>
                <w:sz w:val="20"/>
                <w:szCs w:val="20"/>
              </w:rPr>
              <w:t>Telemach</w:t>
            </w:r>
            <w:proofErr w:type="spellEnd"/>
            <w:r w:rsidRPr="001A0327">
              <w:rPr>
                <w:rFonts w:asciiTheme="minorHAnsi" w:hAnsiTheme="minorHAnsi" w:cstheme="minorHAnsi"/>
                <w:sz w:val="20"/>
                <w:szCs w:val="20"/>
              </w:rPr>
              <w:t xml:space="preserve"> ističe da je nužno prilikom izračuna cijene najma cijevi kabelske kanalizacije uzeti u izračun isključivo postojeće cijene tj. one navedene u trenutno objavljenom Troškovniku radova i materijala iz Standardne ponude.</w:t>
            </w:r>
          </w:p>
        </w:tc>
        <w:tc>
          <w:tcPr>
            <w:tcW w:w="1936" w:type="pct"/>
            <w:tcBorders>
              <w:top w:val="single" w:sz="6" w:space="0" w:color="CCCCCC"/>
              <w:left w:val="single" w:sz="6" w:space="0" w:color="CCCCCC"/>
              <w:bottom w:val="single" w:sz="6" w:space="0" w:color="CCCCCC"/>
              <w:right w:val="single" w:sz="6" w:space="0" w:color="CCCCCC"/>
            </w:tcBorders>
          </w:tcPr>
          <w:p w14:paraId="6C744B37" w14:textId="3D49627B" w:rsidR="00132EA6" w:rsidRPr="00C14C99" w:rsidRDefault="00E40B55" w:rsidP="00C14C99">
            <w:pPr>
              <w:ind w:left="39"/>
              <w:jc w:val="both"/>
              <w:rPr>
                <w:rFonts w:asciiTheme="minorHAnsi" w:hAnsiTheme="minorHAnsi" w:cstheme="minorHAnsi"/>
                <w:sz w:val="20"/>
                <w:szCs w:val="20"/>
              </w:rPr>
            </w:pPr>
            <w:proofErr w:type="spellStart"/>
            <w:r>
              <w:rPr>
                <w:rFonts w:asciiTheme="minorHAnsi" w:hAnsiTheme="minorHAnsi" w:cstheme="minorHAnsi"/>
                <w:sz w:val="20"/>
                <w:szCs w:val="20"/>
              </w:rPr>
              <w:t>Telemach</w:t>
            </w:r>
            <w:proofErr w:type="spellEnd"/>
            <w:r>
              <w:rPr>
                <w:rFonts w:asciiTheme="minorHAnsi" w:hAnsiTheme="minorHAnsi" w:cstheme="minorHAnsi"/>
                <w:sz w:val="20"/>
                <w:szCs w:val="20"/>
              </w:rPr>
              <w:t xml:space="preserve"> u svom komentaru nije iznio svoj stav o prijedlogu načina izračuna troškova kabelske kanalizacije i naknada za najam cijevi kabelske kanalizacije nego samo paušalno  „</w:t>
            </w:r>
            <w:r w:rsidRPr="00C14C99">
              <w:rPr>
                <w:rFonts w:asciiTheme="minorHAnsi" w:hAnsiTheme="minorHAnsi" w:cstheme="minorHAnsi"/>
                <w:i/>
                <w:sz w:val="20"/>
                <w:szCs w:val="20"/>
              </w:rPr>
              <w:t>ističe kako se konačno predložena cijena HAKOM-a treba drastično smanjiti obzirom da je inkrement novo izgrađenih cijevi kabelske kanalizacije izuzetno nizak u odnosu na postojeće stanje</w:t>
            </w:r>
            <w:r>
              <w:rPr>
                <w:rFonts w:asciiTheme="minorHAnsi" w:hAnsiTheme="minorHAnsi" w:cstheme="minorHAnsi"/>
                <w:i/>
                <w:sz w:val="20"/>
                <w:szCs w:val="20"/>
              </w:rPr>
              <w:t xml:space="preserve">“. </w:t>
            </w:r>
            <w:r>
              <w:rPr>
                <w:rFonts w:asciiTheme="minorHAnsi" w:hAnsiTheme="minorHAnsi" w:cstheme="minorHAnsi"/>
                <w:sz w:val="20"/>
                <w:szCs w:val="20"/>
              </w:rPr>
              <w:t xml:space="preserve">Međutim, </w:t>
            </w:r>
            <w:r w:rsidRPr="00C14C99">
              <w:rPr>
                <w:rFonts w:asciiTheme="minorHAnsi" w:hAnsiTheme="minorHAnsi" w:cstheme="minorHAnsi"/>
                <w:sz w:val="20"/>
                <w:szCs w:val="20"/>
              </w:rPr>
              <w:t>HAKOM će uzimajući u obzir prijedloge operatora, odgoditi donošenje odluke o određivanju načina izračuna troškova i mjesečnih naknada za najam cijevi kabelske kanalizacije. HAKOM će provesti dodatne konzultacije s operatorima kako bi se dodatno pojasnio prijedlog HAKOM-a te kako bi i operatori mogli dodatno pojasniti svoje prijedloge i primjedbe vezano uz predloženi način izračuna.</w:t>
            </w:r>
            <w:r w:rsidRPr="00C14C99">
              <w:rPr>
                <w:rFonts w:asciiTheme="minorHAnsi" w:hAnsiTheme="minorHAnsi" w:cstheme="minorHAnsi"/>
                <w:sz w:val="20"/>
                <w:szCs w:val="20"/>
              </w:rPr>
              <w:cr/>
            </w:r>
            <w:r>
              <w:rPr>
                <w:rFonts w:asciiTheme="minorHAnsi" w:hAnsiTheme="minorHAnsi" w:cstheme="minorHAnsi"/>
                <w:sz w:val="20"/>
                <w:szCs w:val="20"/>
              </w:rPr>
              <w:t xml:space="preserve"> HAKOM pri tom poziva </w:t>
            </w:r>
            <w:proofErr w:type="spellStart"/>
            <w:r>
              <w:rPr>
                <w:rFonts w:asciiTheme="minorHAnsi" w:hAnsiTheme="minorHAnsi" w:cstheme="minorHAnsi"/>
                <w:sz w:val="20"/>
                <w:szCs w:val="20"/>
              </w:rPr>
              <w:t>Telemach</w:t>
            </w:r>
            <w:proofErr w:type="spellEnd"/>
            <w:r>
              <w:rPr>
                <w:rFonts w:asciiTheme="minorHAnsi" w:hAnsiTheme="minorHAnsi" w:cstheme="minorHAnsi"/>
                <w:sz w:val="20"/>
                <w:szCs w:val="20"/>
              </w:rPr>
              <w:t xml:space="preserve"> da u tim budućim konzultacijama iznosi argumentirane prijedloge a ne samo paušalne tvrdnje kako trošak i naknade trebaju padati.</w:t>
            </w:r>
          </w:p>
        </w:tc>
      </w:tr>
      <w:tr w:rsidR="00132EA6" w:rsidRPr="00CE310D" w14:paraId="37ED799D"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12BC9E6" w14:textId="572DB70E" w:rsidR="00132EA6" w:rsidRPr="00CE310D" w:rsidRDefault="00132EA6" w:rsidP="00132EA6">
            <w:pPr>
              <w:rPr>
                <w:rFonts w:asciiTheme="minorHAnsi" w:hAnsiTheme="minorHAnsi" w:cstheme="minorHAnsi"/>
                <w:b/>
                <w:bCs/>
              </w:rPr>
            </w:pPr>
            <w:r w:rsidRPr="00CE310D">
              <w:rPr>
                <w:rFonts w:asciiTheme="minorHAnsi" w:hAnsiTheme="minorHAnsi" w:cstheme="minorHAnsi"/>
                <w:b/>
                <w:bCs/>
              </w:rPr>
              <w:t xml:space="preserve">Zaprimljeni komentari na pitanje 7: </w:t>
            </w:r>
            <w:r w:rsidRPr="00CE310D">
              <w:rPr>
                <w:rFonts w:asciiTheme="minorHAnsi" w:hAnsiTheme="minorHAnsi" w:cstheme="minorHAnsi"/>
              </w:rPr>
              <w:t>Koje je vaše mišljenje o predloženom načinu izračuna troškova te dobivenim vrijednostima mjesečnih naknada za najam prostora u distribucijskom čvoru?</w:t>
            </w:r>
            <w:r w:rsidRPr="00CE310D">
              <w:rPr>
                <w:rFonts w:asciiTheme="minorHAnsi" w:hAnsiTheme="minorHAnsi" w:cstheme="minorHAnsi"/>
                <w:b/>
                <w:bCs/>
              </w:rPr>
              <w:t xml:space="preserve"> </w:t>
            </w:r>
          </w:p>
        </w:tc>
      </w:tr>
      <w:tr w:rsidR="00132EA6" w:rsidRPr="00CE310D" w14:paraId="797EC6AC"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53C36850" w14:textId="38B02F7E"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A85B622" w14:textId="3C1EAB38"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9AC1559" w14:textId="639B72D8" w:rsidR="00132EA6" w:rsidRPr="00CE310D" w:rsidRDefault="00132EA6" w:rsidP="00132EA6">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HT smatra da podatak </w:t>
            </w:r>
            <w:proofErr w:type="spellStart"/>
            <w:r w:rsidRPr="00CE310D">
              <w:rPr>
                <w:rFonts w:asciiTheme="minorHAnsi" w:hAnsiTheme="minorHAnsi" w:cstheme="minorHAnsi"/>
                <w:i/>
                <w:sz w:val="20"/>
                <w:szCs w:val="20"/>
              </w:rPr>
              <w:t>Outdoor</w:t>
            </w:r>
            <w:proofErr w:type="spellEnd"/>
            <w:r w:rsidRPr="00CE310D">
              <w:rPr>
                <w:rFonts w:asciiTheme="minorHAnsi" w:hAnsiTheme="minorHAnsi" w:cstheme="minorHAnsi"/>
                <w:i/>
                <w:sz w:val="20"/>
                <w:szCs w:val="20"/>
              </w:rPr>
              <w:t xml:space="preserve"> site </w:t>
            </w:r>
            <w:proofErr w:type="spellStart"/>
            <w:r w:rsidRPr="00CE310D">
              <w:rPr>
                <w:rFonts w:asciiTheme="minorHAnsi" w:hAnsiTheme="minorHAnsi" w:cstheme="minorHAnsi"/>
                <w:i/>
                <w:sz w:val="20"/>
                <w:szCs w:val="20"/>
              </w:rPr>
              <w:t>belonging</w:t>
            </w:r>
            <w:proofErr w:type="spellEnd"/>
            <w:r w:rsidRPr="00CE310D">
              <w:rPr>
                <w:rFonts w:asciiTheme="minorHAnsi" w:hAnsiTheme="minorHAnsi" w:cstheme="minorHAnsi"/>
                <w:i/>
                <w:sz w:val="20"/>
                <w:szCs w:val="20"/>
              </w:rPr>
              <w:t xml:space="preserve"> to HT </w:t>
            </w:r>
            <w:proofErr w:type="spellStart"/>
            <w:r w:rsidRPr="00CE310D">
              <w:rPr>
                <w:rFonts w:asciiTheme="minorHAnsi" w:hAnsiTheme="minorHAnsi" w:cstheme="minorHAnsi"/>
                <w:i/>
                <w:sz w:val="20"/>
                <w:szCs w:val="20"/>
              </w:rPr>
              <w:t>used</w:t>
            </w:r>
            <w:proofErr w:type="spellEnd"/>
            <w:r w:rsidRPr="00CE310D">
              <w:rPr>
                <w:rFonts w:asciiTheme="minorHAnsi" w:hAnsiTheme="minorHAnsi" w:cstheme="minorHAnsi"/>
                <w:i/>
                <w:sz w:val="20"/>
                <w:szCs w:val="20"/>
              </w:rPr>
              <w:t xml:space="preserve"> for </w:t>
            </w:r>
            <w:proofErr w:type="spellStart"/>
            <w:r w:rsidRPr="00CE310D">
              <w:rPr>
                <w:rFonts w:asciiTheme="minorHAnsi" w:hAnsiTheme="minorHAnsi" w:cstheme="minorHAnsi"/>
                <w:i/>
                <w:sz w:val="20"/>
                <w:szCs w:val="20"/>
              </w:rPr>
              <w:t>placing</w:t>
            </w:r>
            <w:proofErr w:type="spellEnd"/>
            <w:r w:rsidRPr="00CE310D">
              <w:rPr>
                <w:rFonts w:asciiTheme="minorHAnsi" w:hAnsiTheme="minorHAnsi" w:cstheme="minorHAnsi"/>
                <w:i/>
                <w:sz w:val="20"/>
                <w:szCs w:val="20"/>
              </w:rPr>
              <w:t xml:space="preserve"> </w:t>
            </w:r>
            <w:proofErr w:type="spellStart"/>
            <w:r w:rsidRPr="00CE310D">
              <w:rPr>
                <w:rFonts w:asciiTheme="minorHAnsi" w:hAnsiTheme="minorHAnsi" w:cstheme="minorHAnsi"/>
                <w:i/>
                <w:sz w:val="20"/>
                <w:szCs w:val="20"/>
              </w:rPr>
              <w:t>Distribution</w:t>
            </w:r>
            <w:proofErr w:type="spellEnd"/>
            <w:r w:rsidRPr="00CE310D">
              <w:rPr>
                <w:rFonts w:asciiTheme="minorHAnsi" w:hAnsiTheme="minorHAnsi" w:cstheme="minorHAnsi"/>
                <w:i/>
                <w:sz w:val="20"/>
                <w:szCs w:val="20"/>
              </w:rPr>
              <w:t xml:space="preserve"> </w:t>
            </w:r>
            <w:proofErr w:type="spellStart"/>
            <w:r w:rsidRPr="00CE310D">
              <w:rPr>
                <w:rFonts w:asciiTheme="minorHAnsi" w:hAnsiTheme="minorHAnsi" w:cstheme="minorHAnsi"/>
                <w:i/>
                <w:sz w:val="20"/>
                <w:szCs w:val="20"/>
              </w:rPr>
              <w:t>Node</w:t>
            </w:r>
            <w:proofErr w:type="spellEnd"/>
            <w:r w:rsidRPr="00CE310D">
              <w:rPr>
                <w:rFonts w:asciiTheme="minorHAnsi" w:hAnsiTheme="minorHAnsi" w:cstheme="minorHAnsi"/>
                <w:i/>
                <w:sz w:val="20"/>
                <w:szCs w:val="20"/>
              </w:rPr>
              <w:t xml:space="preserve"> (</w:t>
            </w:r>
            <w:proofErr w:type="spellStart"/>
            <w:r w:rsidRPr="00CE310D">
              <w:rPr>
                <w:rFonts w:asciiTheme="minorHAnsi" w:hAnsiTheme="minorHAnsi" w:cstheme="minorHAnsi"/>
                <w:i/>
                <w:sz w:val="20"/>
                <w:szCs w:val="20"/>
              </w:rPr>
              <w:t>DN</w:t>
            </w:r>
            <w:proofErr w:type="spellEnd"/>
            <w:r w:rsidRPr="00CE310D">
              <w:rPr>
                <w:rFonts w:asciiTheme="minorHAnsi" w:hAnsiTheme="minorHAnsi" w:cstheme="minorHAnsi"/>
                <w:i/>
                <w:sz w:val="20"/>
                <w:szCs w:val="20"/>
              </w:rPr>
              <w:t>)</w:t>
            </w:r>
            <w:r w:rsidRPr="00CE310D">
              <w:rPr>
                <w:rFonts w:asciiTheme="minorHAnsi" w:hAnsiTheme="minorHAnsi" w:cstheme="minorHAnsi"/>
                <w:sz w:val="20"/>
                <w:szCs w:val="20"/>
              </w:rPr>
              <w:t xml:space="preserve"> je iznos po m</w:t>
            </w:r>
            <w:r w:rsidRPr="00C14C99">
              <w:rPr>
                <w:rFonts w:asciiTheme="minorHAnsi" w:hAnsiTheme="minorHAnsi" w:cstheme="minorHAnsi"/>
                <w:sz w:val="20"/>
                <w:szCs w:val="20"/>
                <w:vertAlign w:val="superscript"/>
              </w:rPr>
              <w:t>2</w:t>
            </w:r>
            <w:r w:rsidRPr="00CE310D">
              <w:rPr>
                <w:rFonts w:asciiTheme="minorHAnsi" w:hAnsiTheme="minorHAnsi" w:cstheme="minorHAnsi"/>
                <w:sz w:val="20"/>
                <w:szCs w:val="20"/>
              </w:rPr>
              <w:t xml:space="preserve"> i potrebno ga je množiti sa 2 (prosječna površina u m</w:t>
            </w:r>
            <w:r w:rsidRPr="00C14C99">
              <w:rPr>
                <w:rFonts w:asciiTheme="minorHAnsi" w:hAnsiTheme="minorHAnsi" w:cstheme="minorHAnsi"/>
                <w:sz w:val="20"/>
                <w:szCs w:val="20"/>
                <w:vertAlign w:val="superscript"/>
              </w:rPr>
              <w:t>2</w:t>
            </w:r>
            <w:r w:rsidRPr="00CE310D">
              <w:rPr>
                <w:rFonts w:asciiTheme="minorHAnsi" w:hAnsiTheme="minorHAnsi" w:cstheme="minorHAnsi"/>
                <w:sz w:val="20"/>
                <w:szCs w:val="20"/>
              </w:rPr>
              <w:t>) kako bi ispravno bio implementiran u troškovni model.</w:t>
            </w:r>
          </w:p>
        </w:tc>
        <w:tc>
          <w:tcPr>
            <w:tcW w:w="1936" w:type="pct"/>
            <w:tcBorders>
              <w:top w:val="single" w:sz="6" w:space="0" w:color="CCCCCC"/>
              <w:left w:val="single" w:sz="6" w:space="0" w:color="CCCCCC"/>
              <w:bottom w:val="single" w:sz="6" w:space="0" w:color="CCCCCC"/>
              <w:right w:val="single" w:sz="6" w:space="0" w:color="CCCCCC"/>
            </w:tcBorders>
          </w:tcPr>
          <w:p w14:paraId="39BBECF8" w14:textId="7ACAB90A" w:rsidR="00132EA6" w:rsidRPr="00C14C99" w:rsidRDefault="00764815" w:rsidP="00132EA6">
            <w:pPr>
              <w:ind w:left="39"/>
              <w:rPr>
                <w:rFonts w:asciiTheme="minorHAnsi" w:hAnsiTheme="minorHAnsi" w:cstheme="minorHAnsi"/>
                <w:sz w:val="20"/>
                <w:szCs w:val="20"/>
              </w:rPr>
            </w:pPr>
            <w:r w:rsidRPr="00C14C99">
              <w:rPr>
                <w:rFonts w:asciiTheme="minorHAnsi" w:hAnsiTheme="minorHAnsi" w:cstheme="minorHAnsi"/>
                <w:sz w:val="20"/>
                <w:szCs w:val="20"/>
              </w:rPr>
              <w:t>R</w:t>
            </w:r>
            <w:r w:rsidRPr="00764815">
              <w:rPr>
                <w:rFonts w:asciiTheme="minorHAnsi" w:hAnsiTheme="minorHAnsi" w:cstheme="minorHAnsi"/>
                <w:sz w:val="20"/>
                <w:szCs w:val="20"/>
              </w:rPr>
              <w:t>iječ je o omašci koj</w:t>
            </w:r>
            <w:r>
              <w:rPr>
                <w:rFonts w:asciiTheme="minorHAnsi" w:hAnsiTheme="minorHAnsi" w:cstheme="minorHAnsi"/>
                <w:sz w:val="20"/>
                <w:szCs w:val="20"/>
              </w:rPr>
              <w:t>u</w:t>
            </w:r>
            <w:r w:rsidRPr="00C14C99">
              <w:rPr>
                <w:rFonts w:asciiTheme="minorHAnsi" w:hAnsiTheme="minorHAnsi" w:cstheme="minorHAnsi"/>
                <w:sz w:val="20"/>
                <w:szCs w:val="20"/>
              </w:rPr>
              <w:t xml:space="preserve"> će HAKOM ukloniti.</w:t>
            </w:r>
            <w:r w:rsidR="00014256">
              <w:rPr>
                <w:rFonts w:asciiTheme="minorHAnsi" w:hAnsiTheme="minorHAnsi" w:cstheme="minorHAnsi"/>
                <w:sz w:val="20"/>
                <w:szCs w:val="20"/>
              </w:rPr>
              <w:t xml:space="preserve"> HAKOM dodatno ističe da će uzimajući u obzir komentare ostalih operatora te određene nejasnoće vezano uz naplatu određenih stavki prilikom pristupa distribucijskom čvoru kroz jednokratne naknade, a koje su možda sadržane i u predloženom izračunu troška najma prostora u distribucijskom čvoru, odgoditi donošenje odluke o cijeni najma prostora u distribucijskom čvoru. Naime, HAKOM će u dodatnim konzultacijama utvrditi koji troškovi se nadoknađuju kroz jednokratne naknade kod pristupa distribucijskom čvoru te ih ne uzeti u obzir kod izračuna mjesečne naknade za najam prostora u </w:t>
            </w:r>
            <w:proofErr w:type="spellStart"/>
            <w:r w:rsidR="00014256">
              <w:rPr>
                <w:rFonts w:asciiTheme="minorHAnsi" w:hAnsiTheme="minorHAnsi" w:cstheme="minorHAnsi"/>
                <w:sz w:val="20"/>
                <w:szCs w:val="20"/>
              </w:rPr>
              <w:t>distribusijskom</w:t>
            </w:r>
            <w:proofErr w:type="spellEnd"/>
            <w:r w:rsidR="00014256">
              <w:rPr>
                <w:rFonts w:asciiTheme="minorHAnsi" w:hAnsiTheme="minorHAnsi" w:cstheme="minorHAnsi"/>
                <w:sz w:val="20"/>
                <w:szCs w:val="20"/>
              </w:rPr>
              <w:t xml:space="preserve"> čvoru kako bi se izbjegla dvostruka nadoknada troškova.</w:t>
            </w:r>
          </w:p>
        </w:tc>
      </w:tr>
      <w:tr w:rsidR="00132EA6" w:rsidRPr="00CE310D" w14:paraId="2DA09D23"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1BCCA884" w14:textId="28914A0C"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5697DAA" w14:textId="6C6FE459" w:rsidR="00132EA6" w:rsidRPr="00CE310D" w:rsidRDefault="00132EA6" w:rsidP="00132EA6">
            <w:pPr>
              <w:rPr>
                <w:rFonts w:asciiTheme="minorHAnsi" w:hAnsiTheme="minorHAnsi" w:cstheme="minorHAnsi"/>
                <w:sz w:val="20"/>
                <w:szCs w:val="20"/>
              </w:rPr>
            </w:pPr>
            <w:r w:rsidRPr="00CE310D">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B068E98" w14:textId="25AECABF" w:rsidR="00132EA6" w:rsidRPr="00CE310D" w:rsidRDefault="00132EA6"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A1 se snažno protivi predloženom izračunu jer je isti netransparentan i praktički se temelji na jednom trošku (trošak </w:t>
            </w:r>
            <w:proofErr w:type="spellStart"/>
            <w:r w:rsidRPr="00CE310D">
              <w:rPr>
                <w:rFonts w:asciiTheme="minorHAnsi" w:hAnsiTheme="minorHAnsi" w:cstheme="minorHAnsi"/>
                <w:sz w:val="20"/>
                <w:szCs w:val="20"/>
              </w:rPr>
              <w:t>rack</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unita</w:t>
            </w:r>
            <w:proofErr w:type="spellEnd"/>
            <w:r w:rsidRPr="00CE310D">
              <w:rPr>
                <w:rFonts w:asciiTheme="minorHAnsi" w:hAnsiTheme="minorHAnsi" w:cstheme="minorHAnsi"/>
                <w:sz w:val="20"/>
                <w:szCs w:val="20"/>
              </w:rPr>
              <w:t xml:space="preserve">) za koji uopće nije jasno što točno predstavlja. A1 smatra da HAKOM treba najprije dostaviti operatorima korisnicima specifikaciju navedenog troška kako bi se moglo utvrditi što HT točno pokušava naplatiti kroz navedenu naknadu, a posebno imajući na umu da kod ostvarivanja pristupa određenom distribucijskom čvoru operatori korisnici već plaćaju značajne iznose u vidu jednokratnih troškova koje HT fakturira. Stoga je potrebno jasno definirati što uključuje predmetni trošak </w:t>
            </w:r>
            <w:proofErr w:type="spellStart"/>
            <w:r w:rsidRPr="00CE310D">
              <w:rPr>
                <w:rFonts w:asciiTheme="minorHAnsi" w:hAnsiTheme="minorHAnsi" w:cstheme="minorHAnsi"/>
                <w:sz w:val="20"/>
                <w:szCs w:val="20"/>
              </w:rPr>
              <w:t>rack</w:t>
            </w:r>
            <w:proofErr w:type="spellEnd"/>
            <w:r w:rsidRPr="00CE310D">
              <w:rPr>
                <w:rFonts w:asciiTheme="minorHAnsi" w:hAnsiTheme="minorHAnsi" w:cstheme="minorHAnsi"/>
                <w:sz w:val="20"/>
                <w:szCs w:val="20"/>
              </w:rPr>
              <w:t xml:space="preserve"> </w:t>
            </w:r>
            <w:proofErr w:type="spellStart"/>
            <w:r w:rsidRPr="00CE310D">
              <w:rPr>
                <w:rFonts w:asciiTheme="minorHAnsi" w:hAnsiTheme="minorHAnsi" w:cstheme="minorHAnsi"/>
                <w:sz w:val="20"/>
                <w:szCs w:val="20"/>
              </w:rPr>
              <w:t>unita</w:t>
            </w:r>
            <w:proofErr w:type="spellEnd"/>
            <w:r w:rsidRPr="00CE310D">
              <w:rPr>
                <w:rFonts w:asciiTheme="minorHAnsi" w:hAnsiTheme="minorHAnsi" w:cstheme="minorHAnsi"/>
                <w:sz w:val="20"/>
                <w:szCs w:val="20"/>
              </w:rPr>
              <w:t xml:space="preserve"> kako se ne bi dogodilo da je u isti uključen dio troškova koje operatori plaćaju i kroz spomenute jednokratne naknade. Tek po dostavi navedenih specifikacija predmetnog jediničnog troška A1 će biti u mogućnosti detaljnije komentirati predmetni izračun i opravdanost ovako značajnog poskupljenja predmetne naknade.</w:t>
            </w:r>
          </w:p>
        </w:tc>
        <w:tc>
          <w:tcPr>
            <w:tcW w:w="1936" w:type="pct"/>
            <w:tcBorders>
              <w:top w:val="single" w:sz="6" w:space="0" w:color="CCCCCC"/>
              <w:left w:val="single" w:sz="6" w:space="0" w:color="CCCCCC"/>
              <w:bottom w:val="single" w:sz="6" w:space="0" w:color="CCCCCC"/>
              <w:right w:val="single" w:sz="6" w:space="0" w:color="CCCCCC"/>
            </w:tcBorders>
          </w:tcPr>
          <w:p w14:paraId="15991AAA" w14:textId="7F42E2CD" w:rsidR="00132EA6" w:rsidRPr="00CE310D" w:rsidRDefault="00014256" w:rsidP="00C14C99">
            <w:pPr>
              <w:ind w:left="39"/>
              <w:jc w:val="both"/>
              <w:rPr>
                <w:rFonts w:asciiTheme="minorHAnsi" w:hAnsiTheme="minorHAnsi" w:cstheme="minorHAnsi"/>
                <w:b/>
                <w:sz w:val="20"/>
                <w:szCs w:val="20"/>
              </w:rPr>
            </w:pPr>
            <w:r w:rsidRPr="00014256">
              <w:rPr>
                <w:rFonts w:asciiTheme="minorHAnsi" w:hAnsiTheme="minorHAnsi" w:cstheme="minorHAnsi"/>
                <w:sz w:val="20"/>
                <w:szCs w:val="20"/>
              </w:rPr>
              <w:t>HAKOM će uzimajući u obzir komentare ostalih operatora te određene nejasnoće vezano uz naplatu određenih stavki prilikom pristupa distribucijskom čvoru kroz jednokratne naknade, a koje su možda sadržane i u predloženom izračunu troška najma prostora u distribucijs</w:t>
            </w:r>
            <w:r>
              <w:rPr>
                <w:rFonts w:asciiTheme="minorHAnsi" w:hAnsiTheme="minorHAnsi" w:cstheme="minorHAnsi"/>
                <w:sz w:val="20"/>
                <w:szCs w:val="20"/>
              </w:rPr>
              <w:t>kom čvoru,</w:t>
            </w:r>
            <w:r w:rsidRPr="00014256">
              <w:rPr>
                <w:rFonts w:asciiTheme="minorHAnsi" w:hAnsiTheme="minorHAnsi" w:cstheme="minorHAnsi"/>
                <w:sz w:val="20"/>
                <w:szCs w:val="20"/>
              </w:rPr>
              <w:t xml:space="preserve"> odgoditi donošenje odluke o cijeni najma prostora u distribucijskom čvoru. Naime, HAKOM će u dodatnim konzultacijama utvrditi koji troškovi se nadoknađuju kroz jednokratne naknade kod pristupa distribucijskom čvoru te ih ne uzeti u obzir kod izračuna mjesečne naknade za najam prostora u </w:t>
            </w:r>
            <w:proofErr w:type="spellStart"/>
            <w:r w:rsidRPr="00014256">
              <w:rPr>
                <w:rFonts w:asciiTheme="minorHAnsi" w:hAnsiTheme="minorHAnsi" w:cstheme="minorHAnsi"/>
                <w:sz w:val="20"/>
                <w:szCs w:val="20"/>
              </w:rPr>
              <w:t>distribusijskom</w:t>
            </w:r>
            <w:proofErr w:type="spellEnd"/>
            <w:r w:rsidRPr="00014256">
              <w:rPr>
                <w:rFonts w:asciiTheme="minorHAnsi" w:hAnsiTheme="minorHAnsi" w:cstheme="minorHAnsi"/>
                <w:sz w:val="20"/>
                <w:szCs w:val="20"/>
              </w:rPr>
              <w:t xml:space="preserve"> čvoru kako bi se izbjegla dvostruka nadoknada troškova.</w:t>
            </w:r>
          </w:p>
        </w:tc>
      </w:tr>
      <w:tr w:rsidR="006A5881" w:rsidRPr="00CE310D" w14:paraId="172C2F7E"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0F98B9DC" w14:textId="35CA50EE" w:rsidR="006A5881" w:rsidRPr="00CE310D" w:rsidRDefault="006A5881" w:rsidP="006A5881">
            <w:pPr>
              <w:rPr>
                <w:rFonts w:asciiTheme="minorHAnsi" w:hAnsiTheme="minorHAnsi" w:cstheme="minorHAnsi"/>
                <w:sz w:val="20"/>
                <w:szCs w:val="20"/>
              </w:rPr>
            </w:pPr>
            <w:r w:rsidRPr="00CE310D">
              <w:rPr>
                <w:rFonts w:asciiTheme="minorHAnsi" w:hAnsiTheme="minorHAnsi" w:cstheme="minorHAnsi"/>
                <w:sz w:val="20"/>
                <w:szCs w:val="20"/>
              </w:rPr>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11EECAF" w14:textId="505E89BA" w:rsidR="006A5881" w:rsidRPr="00CE310D" w:rsidRDefault="006A5881" w:rsidP="006A5881">
            <w:pPr>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C889F78" w14:textId="5CC76BC4" w:rsidR="006A5881"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Potrebno je naglasiti da se trenutne naknade za najam prostora u distribucijskom čvoru zasnivaju na troškovima distribucijskih čvorova iz 2014. kada su troškovi izgradnje distribucijskih čvorova bili značajno niži. U odnosu na dobivene vrijednosti mjesečnih naknada za najam prostora u distribucijskom čvoru,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prije svega ističe kako se apsolutno protivi izračunu vrijednosti mjesečnih naknada i to kako za najam unutarnjeg HT prostora tako i za najam vanjskog HT kabineta te unutarnjeg unajmljenog prostora. Dobivene naknade za vlastiti HT prostor predstavljaju drastično deseterostruko mjesečno povećanje koje ni s čim nije opravdano. Smještaj </w:t>
            </w:r>
            <w:proofErr w:type="spellStart"/>
            <w:r w:rsidRPr="00CE310D">
              <w:rPr>
                <w:rFonts w:asciiTheme="minorHAnsi" w:hAnsiTheme="minorHAnsi" w:cstheme="minorHAnsi"/>
                <w:sz w:val="20"/>
                <w:szCs w:val="20"/>
              </w:rPr>
              <w:t>splittera</w:t>
            </w:r>
            <w:proofErr w:type="spellEnd"/>
            <w:r w:rsidRPr="00CE310D">
              <w:rPr>
                <w:rFonts w:asciiTheme="minorHAnsi" w:hAnsiTheme="minorHAnsi" w:cstheme="minorHAnsi"/>
                <w:sz w:val="20"/>
                <w:szCs w:val="20"/>
              </w:rPr>
              <w:t xml:space="preserve">, fizičkog panela veličine veće ladice u bilo kakav prostor, ne može biti popraćen naknadom od 25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 xml:space="preserve"> ili 12 </w:t>
            </w:r>
            <w:proofErr w:type="spellStart"/>
            <w:r w:rsidRPr="00CE310D">
              <w:rPr>
                <w:rFonts w:asciiTheme="minorHAnsi" w:hAnsiTheme="minorHAnsi" w:cstheme="minorHAnsi"/>
                <w:sz w:val="20"/>
                <w:szCs w:val="20"/>
              </w:rPr>
              <w:t>EUR</w:t>
            </w:r>
            <w:proofErr w:type="spellEnd"/>
            <w:r w:rsidRPr="00CE310D">
              <w:rPr>
                <w:rFonts w:asciiTheme="minorHAnsi" w:hAnsiTheme="minorHAnsi" w:cstheme="minorHAnsi"/>
                <w:sz w:val="20"/>
                <w:szCs w:val="20"/>
              </w:rPr>
              <w:t xml:space="preserve"> mjesečno jer za to nema nikakvog opravdanja pogotovo ako se u obzir uzme cijena koja je na snazi danas. </w:t>
            </w:r>
          </w:p>
          <w:p w14:paraId="697E2AD9" w14:textId="77777777" w:rsidR="007930A0" w:rsidRPr="00CE310D" w:rsidRDefault="007930A0" w:rsidP="006A5881">
            <w:pPr>
              <w:pStyle w:val="ListParagraph"/>
              <w:ind w:left="-110"/>
              <w:jc w:val="both"/>
              <w:rPr>
                <w:rFonts w:asciiTheme="minorHAnsi" w:hAnsiTheme="minorHAnsi" w:cstheme="minorHAnsi"/>
                <w:sz w:val="20"/>
                <w:szCs w:val="20"/>
              </w:rPr>
            </w:pPr>
          </w:p>
          <w:p w14:paraId="1A043857" w14:textId="12AB74BC" w:rsidR="006A5881"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Ono što je dodatno nelogično je da cijena smještaja </w:t>
            </w:r>
            <w:proofErr w:type="spellStart"/>
            <w:r w:rsidRPr="00CE310D">
              <w:rPr>
                <w:rFonts w:asciiTheme="minorHAnsi" w:hAnsiTheme="minorHAnsi" w:cstheme="minorHAnsi"/>
                <w:sz w:val="20"/>
                <w:szCs w:val="20"/>
              </w:rPr>
              <w:t>splittera</w:t>
            </w:r>
            <w:proofErr w:type="spellEnd"/>
            <w:r w:rsidRPr="00CE310D">
              <w:rPr>
                <w:rFonts w:asciiTheme="minorHAnsi" w:hAnsiTheme="minorHAnsi" w:cstheme="minorHAnsi"/>
                <w:sz w:val="20"/>
                <w:szCs w:val="20"/>
              </w:rPr>
              <w:t xml:space="preserve"> košta dvostruko više ako se radi o unutarnjem HT objektu u odnosu na vanjski objekt ili zakupljeni prostor. HT čvorovi kojima pristupaju operatori korisnici se nalaze u HT objektima koji su ciljano građeni prije 10-tak i više godina te su namijenjeni za smještaj </w:t>
            </w:r>
            <w:proofErr w:type="spellStart"/>
            <w:r w:rsidRPr="00CE310D">
              <w:rPr>
                <w:rFonts w:asciiTheme="minorHAnsi" w:hAnsiTheme="minorHAnsi" w:cstheme="minorHAnsi"/>
                <w:sz w:val="20"/>
                <w:szCs w:val="20"/>
              </w:rPr>
              <w:t>TK</w:t>
            </w:r>
            <w:proofErr w:type="spellEnd"/>
            <w:r w:rsidRPr="00CE310D">
              <w:rPr>
                <w:rFonts w:asciiTheme="minorHAnsi" w:hAnsiTheme="minorHAnsi" w:cstheme="minorHAnsi"/>
                <w:sz w:val="20"/>
                <w:szCs w:val="20"/>
              </w:rPr>
              <w:t xml:space="preserve"> opreme. Zbog čega bi danas, godinama nakon što su se ti čvorovi izgradili, naknada za smještaj </w:t>
            </w:r>
            <w:proofErr w:type="spellStart"/>
            <w:r w:rsidRPr="00CE310D">
              <w:rPr>
                <w:rFonts w:asciiTheme="minorHAnsi" w:hAnsiTheme="minorHAnsi" w:cstheme="minorHAnsi"/>
                <w:sz w:val="20"/>
                <w:szCs w:val="20"/>
              </w:rPr>
              <w:t>splittera</w:t>
            </w:r>
            <w:proofErr w:type="spellEnd"/>
            <w:r w:rsidRPr="00CE310D">
              <w:rPr>
                <w:rFonts w:asciiTheme="minorHAnsi" w:hAnsiTheme="minorHAnsi" w:cstheme="minorHAnsi"/>
                <w:sz w:val="20"/>
                <w:szCs w:val="20"/>
              </w:rPr>
              <w:t xml:space="preserve"> bila deset puta viša nego do sada jednostavno nije opravdano niti je isto moguće potkrijepiti bilo kakvih porastom troškova. Niti jedan trošak nije porastao deseterostruko, a obzirom da se radi o isključivo pasivnom/fizičkom komadu opreme koje ne zahtijeva nikakvo napajanje/hlađenje itd., sve i da su troškovi u tom dijelu porasli, na smještaj </w:t>
            </w:r>
            <w:proofErr w:type="spellStart"/>
            <w:r w:rsidRPr="00CE310D">
              <w:rPr>
                <w:rFonts w:asciiTheme="minorHAnsi" w:hAnsiTheme="minorHAnsi" w:cstheme="minorHAnsi"/>
                <w:sz w:val="20"/>
                <w:szCs w:val="20"/>
              </w:rPr>
              <w:t>splittera</w:t>
            </w:r>
            <w:proofErr w:type="spellEnd"/>
            <w:r w:rsidRPr="00CE310D">
              <w:rPr>
                <w:rFonts w:asciiTheme="minorHAnsi" w:hAnsiTheme="minorHAnsi" w:cstheme="minorHAnsi"/>
                <w:sz w:val="20"/>
                <w:szCs w:val="20"/>
              </w:rPr>
              <w:t xml:space="preserve"> to ne bi trebalo biti od utjecaja. No čak i da su troškovi porasli te da imaju utjecaj na smještaj </w:t>
            </w:r>
            <w:proofErr w:type="spellStart"/>
            <w:r w:rsidRPr="00CE310D">
              <w:rPr>
                <w:rFonts w:asciiTheme="minorHAnsi" w:hAnsiTheme="minorHAnsi" w:cstheme="minorHAnsi"/>
                <w:sz w:val="20"/>
                <w:szCs w:val="20"/>
              </w:rPr>
              <w:t>splittera</w:t>
            </w:r>
            <w:proofErr w:type="spellEnd"/>
            <w:r w:rsidRPr="00CE310D">
              <w:rPr>
                <w:rFonts w:asciiTheme="minorHAnsi" w:hAnsiTheme="minorHAnsi" w:cstheme="minorHAnsi"/>
                <w:sz w:val="20"/>
                <w:szCs w:val="20"/>
              </w:rPr>
              <w:t xml:space="preserve">, udio jednog </w:t>
            </w:r>
            <w:proofErr w:type="spellStart"/>
            <w:r w:rsidRPr="00CE310D">
              <w:rPr>
                <w:rFonts w:asciiTheme="minorHAnsi" w:hAnsiTheme="minorHAnsi" w:cstheme="minorHAnsi"/>
                <w:sz w:val="20"/>
                <w:szCs w:val="20"/>
              </w:rPr>
              <w:t>splittera</w:t>
            </w:r>
            <w:proofErr w:type="spellEnd"/>
            <w:r w:rsidRPr="00CE310D">
              <w:rPr>
                <w:rFonts w:asciiTheme="minorHAnsi" w:hAnsiTheme="minorHAnsi" w:cstheme="minorHAnsi"/>
                <w:sz w:val="20"/>
                <w:szCs w:val="20"/>
              </w:rPr>
              <w:t xml:space="preserve"> u snošenju tog troška nužno bi morao biti minimalan, a svakako se ne može odraziti u deseterostrukom povećanju mjesečne naknade. Štoviše, umjesto da naknada za smještaj djelitelja u postojećem već izgrađenom objektu HT-a raste deset puta, bilo bi logičnije da ista pada obzirom na manjak ulaganja u te objekte od strane HT-a. </w:t>
            </w:r>
          </w:p>
          <w:p w14:paraId="6BC9AB17" w14:textId="77777777" w:rsidR="00DB11AC" w:rsidRPr="00CE310D" w:rsidRDefault="00DB11AC" w:rsidP="006A5881">
            <w:pPr>
              <w:pStyle w:val="ListParagraph"/>
              <w:ind w:left="-110"/>
              <w:jc w:val="both"/>
              <w:rPr>
                <w:rFonts w:asciiTheme="minorHAnsi" w:hAnsiTheme="minorHAnsi" w:cstheme="minorHAnsi"/>
                <w:sz w:val="20"/>
                <w:szCs w:val="20"/>
              </w:rPr>
            </w:pPr>
          </w:p>
          <w:p w14:paraId="2EF22B56" w14:textId="4730E6B1" w:rsidR="006A5881"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Dodatno, nije jasno kako je moguće da HT ima veći trošak za vlastitu, dobrim dijelom amortiziranu imovinu, od imovine u zakupu, a za koju bi bilo donekle jasno da su se troškovi povećali uslijed ekonomskih okolnosti u kojima se svi nalazimo. Međutim, ni ti troškovi ne mogu biti dvostruko veći (kako se danas odražavaju u modelu) jer to naprosto nije odraz tržišnih kretanja. </w:t>
            </w:r>
          </w:p>
          <w:p w14:paraId="3A0EE41A" w14:textId="77777777" w:rsidR="00DB11AC" w:rsidRPr="00CE310D" w:rsidRDefault="00DB11AC" w:rsidP="006A5881">
            <w:pPr>
              <w:pStyle w:val="ListParagraph"/>
              <w:ind w:left="-110"/>
              <w:jc w:val="both"/>
              <w:rPr>
                <w:rFonts w:asciiTheme="minorHAnsi" w:hAnsiTheme="minorHAnsi" w:cstheme="minorHAnsi"/>
                <w:sz w:val="20"/>
                <w:szCs w:val="20"/>
              </w:rPr>
            </w:pPr>
          </w:p>
          <w:p w14:paraId="1B7551E5" w14:textId="5DA6F602" w:rsidR="006A5881"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Također, nije jasno ni koji je argument za porast troškova vanjskih kabineta. Prema saznanjima </w:t>
            </w:r>
            <w:proofErr w:type="spellStart"/>
            <w:r w:rsidRPr="00CE310D">
              <w:rPr>
                <w:rFonts w:asciiTheme="minorHAnsi" w:hAnsiTheme="minorHAnsi" w:cstheme="minorHAnsi"/>
                <w:sz w:val="20"/>
                <w:szCs w:val="20"/>
              </w:rPr>
              <w:t>Telemacha</w:t>
            </w:r>
            <w:proofErr w:type="spellEnd"/>
            <w:r w:rsidRPr="00CE310D">
              <w:rPr>
                <w:rFonts w:asciiTheme="minorHAnsi" w:hAnsiTheme="minorHAnsi" w:cstheme="minorHAnsi"/>
                <w:sz w:val="20"/>
                <w:szCs w:val="20"/>
              </w:rPr>
              <w:t xml:space="preserve"> niti se zakup javnih površina povećao da bi opravdao dvostruko poskupljenje naknade niti je oprema (ulični ormar) poskupila da bi ovakvo povećanje </w:t>
            </w:r>
            <w:r w:rsidRPr="00CE310D">
              <w:rPr>
                <w:rFonts w:asciiTheme="minorHAnsi" w:hAnsiTheme="minorHAnsi" w:cstheme="minorHAnsi"/>
                <w:sz w:val="20"/>
                <w:szCs w:val="20"/>
              </w:rPr>
              <w:lastRenderedPageBreak/>
              <w:t xml:space="preserve">opravdala. Dapače, oprema (ulični ormari) je unazad nekoliko godina značajno pojeftinila u odnosu na prethodne godine. Dakle, ovo poskupljenje je apsolutno nelogično. Prvenstveno iz perspektive samog višestrukog povećanja jer za isto nema opravdanja. </w:t>
            </w:r>
          </w:p>
          <w:p w14:paraId="6938920D" w14:textId="77777777" w:rsidR="00DB11AC" w:rsidRPr="00CE310D" w:rsidRDefault="00DB11AC" w:rsidP="006A5881">
            <w:pPr>
              <w:pStyle w:val="ListParagraph"/>
              <w:ind w:left="-110"/>
              <w:jc w:val="both"/>
              <w:rPr>
                <w:rFonts w:asciiTheme="minorHAnsi" w:hAnsiTheme="minorHAnsi" w:cstheme="minorHAnsi"/>
                <w:sz w:val="20"/>
                <w:szCs w:val="20"/>
              </w:rPr>
            </w:pPr>
          </w:p>
          <w:p w14:paraId="7ED374E3" w14:textId="5DE97CA2" w:rsidR="006A5881"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Također, i iz perspektive da HT više košta vlastiti, dijelom amortizirani prostor, od prostora koji se nalazi u najmu/zakupu i/ili na javnoj površini, a za što se plaća naknada trećima i za što je potrebno, u određenim slučajevima postaviti novi distribucijski čvor. </w:t>
            </w:r>
          </w:p>
          <w:p w14:paraId="615F49D6" w14:textId="77777777" w:rsidR="00DB11AC" w:rsidRPr="00CE310D" w:rsidRDefault="00DB11AC" w:rsidP="006A5881">
            <w:pPr>
              <w:pStyle w:val="ListParagraph"/>
              <w:ind w:left="-110"/>
              <w:jc w:val="both"/>
              <w:rPr>
                <w:rFonts w:asciiTheme="minorHAnsi" w:hAnsiTheme="minorHAnsi" w:cstheme="minorHAnsi"/>
                <w:sz w:val="20"/>
                <w:szCs w:val="20"/>
              </w:rPr>
            </w:pPr>
          </w:p>
          <w:p w14:paraId="1138193C" w14:textId="45393506" w:rsidR="006A5881"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Dodatno, u odnosu na izneseni navod HAKOM-a sukladno kojem se naknade za najam prostora u distribucijskom čvoru zasnivaju na troškovima distribucijskih čvorova iz 2014. kada su troškovi izgradnje distribucijskih čvorova bili značajno niži,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predlaže da HAKOM pozove HT da dostavi podatak o novoizgrađenim HT prostorima u kojima su smješteni čvorovi te vanjskim </w:t>
            </w:r>
            <w:proofErr w:type="spellStart"/>
            <w:r w:rsidRPr="00CE310D">
              <w:rPr>
                <w:rFonts w:asciiTheme="minorHAnsi" w:hAnsiTheme="minorHAnsi" w:cstheme="minorHAnsi"/>
                <w:sz w:val="20"/>
                <w:szCs w:val="20"/>
              </w:rPr>
              <w:t>DČ</w:t>
            </w:r>
            <w:proofErr w:type="spellEnd"/>
            <w:r w:rsidRPr="00CE310D">
              <w:rPr>
                <w:rFonts w:asciiTheme="minorHAnsi" w:hAnsiTheme="minorHAnsi" w:cstheme="minorHAnsi"/>
                <w:sz w:val="20"/>
                <w:szCs w:val="20"/>
              </w:rPr>
              <w:t xml:space="preserve">-ovima po godinama, a koji su izgrađeni nakon 2014. godine. </w:t>
            </w:r>
          </w:p>
          <w:p w14:paraId="3EB413E7" w14:textId="77777777" w:rsidR="00DB11AC" w:rsidRPr="00CE310D" w:rsidRDefault="00DB11AC" w:rsidP="006A5881">
            <w:pPr>
              <w:pStyle w:val="ListParagraph"/>
              <w:ind w:left="-110"/>
              <w:jc w:val="both"/>
              <w:rPr>
                <w:rFonts w:asciiTheme="minorHAnsi" w:hAnsiTheme="minorHAnsi" w:cstheme="minorHAnsi"/>
                <w:sz w:val="20"/>
                <w:szCs w:val="20"/>
              </w:rPr>
            </w:pPr>
          </w:p>
          <w:p w14:paraId="302CD483" w14:textId="77777777" w:rsidR="006A5881" w:rsidRPr="00CE310D"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Slijedom navedenog,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poziva HAKOM da izvrši reviziju izračuna svih ulaznih troškova obiju naknada za najam prostora u distribucijskom čvoru obzirom da se radi o nelogičnom i neutemeljenom povećanju.</w:t>
            </w:r>
          </w:p>
          <w:p w14:paraId="04126E97" w14:textId="3F4DA745" w:rsidR="006A5881" w:rsidRPr="00CE310D" w:rsidRDefault="006A5881" w:rsidP="006A5881">
            <w:pPr>
              <w:ind w:left="-1103" w:firstLine="993"/>
              <w:jc w:val="both"/>
              <w:rPr>
                <w:rFonts w:asciiTheme="minorHAnsi" w:hAnsiTheme="minorHAnsi" w:cstheme="minorHAnsi"/>
                <w:sz w:val="20"/>
                <w:szCs w:val="20"/>
              </w:rPr>
            </w:pPr>
          </w:p>
        </w:tc>
        <w:tc>
          <w:tcPr>
            <w:tcW w:w="1936" w:type="pct"/>
            <w:tcBorders>
              <w:top w:val="single" w:sz="6" w:space="0" w:color="CCCCCC"/>
              <w:left w:val="single" w:sz="6" w:space="0" w:color="CCCCCC"/>
              <w:bottom w:val="single" w:sz="6" w:space="0" w:color="CCCCCC"/>
              <w:right w:val="single" w:sz="6" w:space="0" w:color="CCCCCC"/>
            </w:tcBorders>
          </w:tcPr>
          <w:p w14:paraId="52295845" w14:textId="1C0F2E69" w:rsidR="006A5881" w:rsidRPr="00CE310D" w:rsidRDefault="00D42D79" w:rsidP="006A5881">
            <w:pPr>
              <w:ind w:left="39"/>
              <w:rPr>
                <w:rFonts w:asciiTheme="minorHAnsi" w:hAnsiTheme="minorHAnsi" w:cstheme="minorHAnsi"/>
                <w:b/>
                <w:sz w:val="20"/>
                <w:szCs w:val="20"/>
              </w:rPr>
            </w:pPr>
            <w:r w:rsidRPr="00117EF1">
              <w:rPr>
                <w:rFonts w:asciiTheme="minorHAnsi" w:hAnsiTheme="minorHAnsi" w:cstheme="minorHAnsi"/>
                <w:sz w:val="20"/>
                <w:szCs w:val="20"/>
              </w:rPr>
              <w:lastRenderedPageBreak/>
              <w:t>Vidi odgovor na prethodni komentar</w:t>
            </w:r>
          </w:p>
        </w:tc>
      </w:tr>
      <w:tr w:rsidR="006A5881" w:rsidRPr="00CE310D" w14:paraId="1F1A44D7" w14:textId="77777777" w:rsidTr="00F737D6">
        <w:tc>
          <w:tcPr>
            <w:tcW w:w="5000" w:type="pct"/>
            <w:gridSpan w:val="4"/>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1D6AA3CA" w14:textId="0347BF07" w:rsidR="006A5881" w:rsidRPr="00CE310D" w:rsidRDefault="006A5881" w:rsidP="006A5881">
            <w:pPr>
              <w:jc w:val="both"/>
              <w:rPr>
                <w:rFonts w:asciiTheme="minorHAnsi" w:hAnsiTheme="minorHAnsi" w:cstheme="minorHAnsi"/>
              </w:rPr>
            </w:pPr>
            <w:r w:rsidRPr="00CE310D">
              <w:rPr>
                <w:rFonts w:asciiTheme="minorHAnsi" w:hAnsiTheme="minorHAnsi" w:cstheme="minorHAnsi"/>
                <w:b/>
                <w:bCs/>
              </w:rPr>
              <w:t xml:space="preserve">Zaprimljeni komentari na pitanje 8: </w:t>
            </w:r>
            <w:r w:rsidRPr="00CE310D">
              <w:rPr>
                <w:rFonts w:asciiTheme="minorHAnsi" w:hAnsiTheme="minorHAnsi" w:cstheme="minorHAnsi"/>
              </w:rPr>
              <w:t xml:space="preserve">Nastavno na pitanje br. 7., postoji mogućnost da se trošak prostora u distribucijskom čvoru, koji se trenutno nadoknađuje kroz zasebnu mjesečnu naknadu, nadoknadi na način da se troškovi prostora u distribucijskom čvoru nadoknade kroz uslugu najma niti u distribucijskom čvoru (FA-PON) te da se postojeća mjesečna naknada za najam prostora u distribucijskom čvoru ukine. To bi s jedne strane rezultiralo određenim povećanjem mjesečne naknade za uslugu najma niti jer bi se trošak prostora u distribucijskom čvoru prenio na uslugu najma niti, dok bi se s druge strane pojednostavnio sustav mjesečnih naknada. Koji je vaš stav o ovome? </w:t>
            </w:r>
          </w:p>
        </w:tc>
      </w:tr>
      <w:tr w:rsidR="006A5881" w:rsidRPr="00CE310D" w14:paraId="662A6C1F"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3B5F9CA0" w14:textId="604F8050" w:rsidR="006A5881" w:rsidRPr="00CE310D" w:rsidRDefault="006A5881" w:rsidP="006A5881">
            <w:pPr>
              <w:rPr>
                <w:rFonts w:asciiTheme="minorHAnsi" w:hAnsiTheme="minorHAnsi" w:cstheme="minorHAnsi"/>
                <w:sz w:val="20"/>
                <w:szCs w:val="20"/>
              </w:rPr>
            </w:pPr>
            <w:r w:rsidRPr="00CE310D">
              <w:rPr>
                <w:rFonts w:asciiTheme="minorHAnsi" w:hAnsiTheme="minorHAnsi" w:cstheme="minorHAnsi"/>
                <w:sz w:val="20"/>
                <w:szCs w:val="20"/>
              </w:rPr>
              <w:t>1.</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5E087D44" w14:textId="6F04344C" w:rsidR="006A5881" w:rsidRPr="00CE310D" w:rsidRDefault="006A5881" w:rsidP="006A5881">
            <w:pPr>
              <w:rPr>
                <w:rFonts w:asciiTheme="minorHAnsi" w:hAnsiTheme="minorHAnsi" w:cstheme="minorHAnsi"/>
                <w:sz w:val="20"/>
                <w:szCs w:val="20"/>
              </w:rPr>
            </w:pPr>
            <w:r w:rsidRPr="00CE310D">
              <w:rPr>
                <w:rFonts w:asciiTheme="minorHAnsi" w:hAnsiTheme="minorHAnsi" w:cstheme="minorHAnsi"/>
                <w:sz w:val="20"/>
                <w:szCs w:val="20"/>
              </w:rPr>
              <w:t xml:space="preserve">HT </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06BA7D10" w14:textId="38E7C6B1" w:rsidR="006A5881" w:rsidRPr="00CE310D" w:rsidRDefault="006A5881" w:rsidP="006A588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HT predlaže da se naknada za prostor i dalje definira kao zaseban proizvod i ne uključuje u najam niti.</w:t>
            </w:r>
          </w:p>
        </w:tc>
        <w:tc>
          <w:tcPr>
            <w:tcW w:w="1936" w:type="pct"/>
            <w:tcBorders>
              <w:top w:val="single" w:sz="6" w:space="0" w:color="CCCCCC"/>
              <w:left w:val="single" w:sz="6" w:space="0" w:color="CCCCCC"/>
              <w:bottom w:val="single" w:sz="6" w:space="0" w:color="CCCCCC"/>
              <w:right w:val="single" w:sz="6" w:space="0" w:color="CCCCCC"/>
            </w:tcBorders>
          </w:tcPr>
          <w:p w14:paraId="3B5C7CBF" w14:textId="1EE3DCEA" w:rsidR="006A5881" w:rsidRPr="00CE310D" w:rsidRDefault="00D42D79" w:rsidP="00C14C99">
            <w:pPr>
              <w:ind w:left="39"/>
              <w:jc w:val="both"/>
              <w:rPr>
                <w:rFonts w:asciiTheme="minorHAnsi" w:hAnsiTheme="minorHAnsi" w:cstheme="minorHAnsi"/>
                <w:b/>
                <w:sz w:val="20"/>
                <w:szCs w:val="20"/>
              </w:rPr>
            </w:pPr>
            <w:r>
              <w:rPr>
                <w:rFonts w:asciiTheme="minorHAnsi" w:hAnsiTheme="minorHAnsi" w:cstheme="minorHAnsi"/>
                <w:sz w:val="20"/>
                <w:szCs w:val="20"/>
              </w:rPr>
              <w:t xml:space="preserve">HAKOM će u zasebnom postupku </w:t>
            </w:r>
            <w:r w:rsidRPr="00117EF1">
              <w:rPr>
                <w:rFonts w:asciiTheme="minorHAnsi" w:hAnsiTheme="minorHAnsi" w:cstheme="minorHAnsi"/>
                <w:sz w:val="20"/>
                <w:szCs w:val="20"/>
              </w:rPr>
              <w:t xml:space="preserve"> jasno definirati koji troškovi se nadoknađuju naplatom naknade za najam prostora  zbog izbjegavanja dvostruke nadoknade troškova. HA</w:t>
            </w:r>
            <w:r>
              <w:rPr>
                <w:rFonts w:asciiTheme="minorHAnsi" w:hAnsiTheme="minorHAnsi" w:cstheme="minorHAnsi"/>
                <w:sz w:val="20"/>
                <w:szCs w:val="20"/>
              </w:rPr>
              <w:t>KOM je, uzimajući u obzir komentar od operatora kao i</w:t>
            </w:r>
            <w:r w:rsidRPr="00117EF1">
              <w:rPr>
                <w:rFonts w:asciiTheme="minorHAnsi" w:hAnsiTheme="minorHAnsi" w:cstheme="minorHAnsi"/>
                <w:sz w:val="20"/>
                <w:szCs w:val="20"/>
              </w:rPr>
              <w:t xml:space="preserve"> uzimajući u obzir odred</w:t>
            </w:r>
            <w:r>
              <w:rPr>
                <w:rFonts w:asciiTheme="minorHAnsi" w:hAnsiTheme="minorHAnsi" w:cstheme="minorHAnsi"/>
                <w:sz w:val="20"/>
                <w:szCs w:val="20"/>
              </w:rPr>
              <w:t>be mjerodavne standardne ponude</w:t>
            </w:r>
            <w:r w:rsidRPr="00117EF1">
              <w:rPr>
                <w:rFonts w:asciiTheme="minorHAnsi" w:hAnsiTheme="minorHAnsi" w:cstheme="minorHAnsi"/>
                <w:sz w:val="20"/>
                <w:szCs w:val="20"/>
              </w:rPr>
              <w:t xml:space="preserve"> koje potvrđuju navode operatora, zaključio da će se ostaviti na snazi isti sustav naplate po kojem će se trošak prostora u distribucijskom čvoru nastaviti naplaćivati kroz zasebnu mjesečnu naknadu, a koju će HAKOM odrediti naknadno u zasebnom postupku.</w:t>
            </w:r>
          </w:p>
        </w:tc>
      </w:tr>
      <w:tr w:rsidR="006A5881" w:rsidRPr="00CE310D" w14:paraId="23599EEA"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6097EE18" w14:textId="72ED4D33" w:rsidR="006A5881" w:rsidRPr="00CE310D" w:rsidRDefault="006A5881" w:rsidP="006A5881">
            <w:pPr>
              <w:rPr>
                <w:rFonts w:asciiTheme="minorHAnsi" w:hAnsiTheme="minorHAnsi" w:cstheme="minorHAnsi"/>
                <w:sz w:val="20"/>
                <w:szCs w:val="20"/>
              </w:rPr>
            </w:pPr>
            <w:r w:rsidRPr="00CE310D">
              <w:rPr>
                <w:rFonts w:asciiTheme="minorHAnsi" w:hAnsiTheme="minorHAnsi" w:cstheme="minorHAnsi"/>
                <w:sz w:val="20"/>
                <w:szCs w:val="20"/>
              </w:rPr>
              <w:t>2.</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3F95F48C" w14:textId="613F56B8" w:rsidR="006A5881" w:rsidRPr="00CE310D" w:rsidRDefault="006A5881" w:rsidP="006A5881">
            <w:pPr>
              <w:rPr>
                <w:rFonts w:asciiTheme="minorHAnsi" w:hAnsiTheme="minorHAnsi" w:cstheme="minorHAnsi"/>
                <w:sz w:val="20"/>
                <w:szCs w:val="20"/>
              </w:rPr>
            </w:pPr>
            <w:r w:rsidRPr="00CE310D">
              <w:rPr>
                <w:rFonts w:asciiTheme="minorHAnsi" w:hAnsiTheme="minorHAnsi" w:cstheme="minorHAnsi"/>
                <w:sz w:val="20"/>
                <w:szCs w:val="20"/>
              </w:rPr>
              <w:t>A1</w:t>
            </w:r>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76D372ED" w14:textId="67CD8FB5" w:rsidR="006A5881" w:rsidRPr="00CE310D" w:rsidRDefault="006A5881" w:rsidP="00763DB8">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Kako uopće nije jasno što je uključeno u izračunati trošak prostora, A1 se u ovom trenutku ne može detaljnije očitovati o nadoknađivanju istog, bilo da se isti nadoknađuje kroz zasebnu naknadu kao što je danas slučaj ili kroz uključivanje navedenog troška u naknadu za najam niti. Stoga A1 moli HAKOM da prije donošenja bilo kakve odluke po pitanju predmetne naknade dostavi specifikaciju jediničnog troška korištenog u kalkulaciji kako bi operatori mogli dodatno komentirati opravdanost navedenog troška i cjelokupne kalkulacije.</w:t>
            </w:r>
          </w:p>
        </w:tc>
        <w:tc>
          <w:tcPr>
            <w:tcW w:w="1936" w:type="pct"/>
            <w:tcBorders>
              <w:top w:val="single" w:sz="6" w:space="0" w:color="CCCCCC"/>
              <w:left w:val="single" w:sz="6" w:space="0" w:color="CCCCCC"/>
              <w:bottom w:val="single" w:sz="6" w:space="0" w:color="CCCCCC"/>
              <w:right w:val="single" w:sz="6" w:space="0" w:color="CCCCCC"/>
            </w:tcBorders>
          </w:tcPr>
          <w:p w14:paraId="28ECE6A9" w14:textId="66B0D415" w:rsidR="006A5881" w:rsidRPr="00CE310D" w:rsidRDefault="00D42D79" w:rsidP="006A5881">
            <w:pPr>
              <w:ind w:left="39"/>
              <w:rPr>
                <w:rFonts w:asciiTheme="minorHAnsi" w:hAnsiTheme="minorHAnsi" w:cstheme="minorHAnsi"/>
                <w:b/>
                <w:sz w:val="20"/>
                <w:szCs w:val="20"/>
              </w:rPr>
            </w:pPr>
            <w:r w:rsidRPr="00117EF1">
              <w:rPr>
                <w:rFonts w:asciiTheme="minorHAnsi" w:hAnsiTheme="minorHAnsi" w:cstheme="minorHAnsi"/>
                <w:sz w:val="20"/>
                <w:szCs w:val="20"/>
              </w:rPr>
              <w:t>Vidi odgovor na prethodni komentar</w:t>
            </w:r>
          </w:p>
        </w:tc>
      </w:tr>
      <w:tr w:rsidR="006A5881" w:rsidRPr="00CE310D" w14:paraId="361231EE" w14:textId="77777777" w:rsidTr="00D374AD">
        <w:tc>
          <w:tcPr>
            <w:tcW w:w="215" w:type="pct"/>
            <w:tcBorders>
              <w:top w:val="single" w:sz="6" w:space="0" w:color="CCCCCC"/>
              <w:left w:val="single" w:sz="6" w:space="0" w:color="CCCCCC"/>
              <w:bottom w:val="single" w:sz="6" w:space="0" w:color="CCCCCC"/>
              <w:right w:val="single" w:sz="6" w:space="0" w:color="CCCCCC"/>
            </w:tcBorders>
            <w:noWrap/>
            <w:tcMar>
              <w:top w:w="105" w:type="dxa"/>
              <w:left w:w="112" w:type="dxa"/>
              <w:bottom w:w="105" w:type="dxa"/>
              <w:right w:w="112" w:type="dxa"/>
            </w:tcMar>
          </w:tcPr>
          <w:p w14:paraId="7E48D6C1" w14:textId="4224D594" w:rsidR="006A5881" w:rsidRPr="00CE310D" w:rsidRDefault="006A5881" w:rsidP="006A5881">
            <w:pPr>
              <w:rPr>
                <w:rFonts w:asciiTheme="minorHAnsi" w:hAnsiTheme="minorHAnsi" w:cstheme="minorHAnsi"/>
                <w:sz w:val="20"/>
                <w:szCs w:val="20"/>
              </w:rPr>
            </w:pPr>
            <w:r w:rsidRPr="00CE310D">
              <w:rPr>
                <w:rFonts w:asciiTheme="minorHAnsi" w:hAnsiTheme="minorHAnsi" w:cstheme="minorHAnsi"/>
                <w:sz w:val="20"/>
                <w:szCs w:val="20"/>
              </w:rPr>
              <w:t>3.</w:t>
            </w:r>
          </w:p>
        </w:tc>
        <w:tc>
          <w:tcPr>
            <w:tcW w:w="360"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4B63B661" w14:textId="4AE3BF20" w:rsidR="006A5881" w:rsidRPr="00CE310D" w:rsidRDefault="006A5881" w:rsidP="006A5881">
            <w:pPr>
              <w:rPr>
                <w:rFonts w:asciiTheme="minorHAnsi" w:hAnsiTheme="minorHAnsi" w:cstheme="minorHAnsi"/>
                <w:sz w:val="20"/>
                <w:szCs w:val="20"/>
              </w:rPr>
            </w:pPr>
            <w:proofErr w:type="spellStart"/>
            <w:r w:rsidRPr="00CE310D">
              <w:rPr>
                <w:rFonts w:asciiTheme="minorHAnsi" w:hAnsiTheme="minorHAnsi" w:cstheme="minorHAnsi"/>
                <w:sz w:val="20"/>
                <w:szCs w:val="20"/>
              </w:rPr>
              <w:t>Telemach</w:t>
            </w:r>
            <w:proofErr w:type="spellEnd"/>
          </w:p>
        </w:tc>
        <w:tc>
          <w:tcPr>
            <w:tcW w:w="2489" w:type="pct"/>
            <w:tcBorders>
              <w:top w:val="single" w:sz="6" w:space="0" w:color="CCCCCC"/>
              <w:left w:val="single" w:sz="6" w:space="0" w:color="CCCCCC"/>
              <w:bottom w:val="single" w:sz="6" w:space="0" w:color="CCCCCC"/>
              <w:right w:val="single" w:sz="6" w:space="0" w:color="CCCCCC"/>
            </w:tcBorders>
            <w:tcMar>
              <w:top w:w="105" w:type="dxa"/>
              <w:left w:w="112" w:type="dxa"/>
              <w:bottom w:w="105" w:type="dxa"/>
              <w:right w:w="112" w:type="dxa"/>
            </w:tcMar>
          </w:tcPr>
          <w:p w14:paraId="6BF047D3" w14:textId="59D1EF5E" w:rsidR="006A5881" w:rsidRPr="00CE310D" w:rsidRDefault="006A5881" w:rsidP="00742021">
            <w:pPr>
              <w:pStyle w:val="ListParagraph"/>
              <w:ind w:left="-110"/>
              <w:jc w:val="both"/>
              <w:rPr>
                <w:rFonts w:asciiTheme="minorHAnsi" w:hAnsiTheme="minorHAnsi" w:cstheme="minorHAnsi"/>
                <w:sz w:val="20"/>
                <w:szCs w:val="20"/>
              </w:rPr>
            </w:pPr>
            <w:r w:rsidRPr="00CE310D">
              <w:rPr>
                <w:rFonts w:asciiTheme="minorHAnsi" w:hAnsiTheme="minorHAnsi" w:cstheme="minorHAnsi"/>
                <w:sz w:val="20"/>
                <w:szCs w:val="20"/>
              </w:rPr>
              <w:t xml:space="preserve">U odnosu na predloženo pojednostavljenje sustava mjesečnih naknada na način da se trošak prostora u distribucijskom čvoru uračuna u mjesečnu naknadu za uslugu najma niti, </w:t>
            </w:r>
            <w:proofErr w:type="spellStart"/>
            <w:r w:rsidRPr="00CE310D">
              <w:rPr>
                <w:rFonts w:asciiTheme="minorHAnsi" w:hAnsiTheme="minorHAnsi" w:cstheme="minorHAnsi"/>
                <w:sz w:val="20"/>
                <w:szCs w:val="20"/>
              </w:rPr>
              <w:t>Telemach</w:t>
            </w:r>
            <w:proofErr w:type="spellEnd"/>
            <w:r w:rsidRPr="00CE310D">
              <w:rPr>
                <w:rFonts w:asciiTheme="minorHAnsi" w:hAnsiTheme="minorHAnsi" w:cstheme="minorHAnsi"/>
                <w:sz w:val="20"/>
                <w:szCs w:val="20"/>
              </w:rPr>
              <w:t xml:space="preserve"> ističe kako se slaže s navedenim prijedlogom, ali isključivo pod uvjetom da trošak prostora u distribucijskom čvoru za smještaj djelitelja bude značajno manji od trenutno određenih iznosa naknada, a sve kako smo pojasnili u prethodnoj točci. Dakle, kao osnova za izračun trošak prostora u distribucijskom čvoru HAKOM ne bi trebao uzeti u obzir trošak kojeg je HAKOM izračunao odnosno naprijed predložene cijene najma prostora u distribucijskom čvoru jer nam u dostavljenom Izvještaju HAKOM-a o izvršenom ažuriranju nije ponuđen nikakav opravdani razlog za istaknuto drastično povećanje cijene najma, i to kako unutarnjeg HT prostora tako i vanjskog tj. unajmljenog prostora od strane HT-a. </w:t>
            </w:r>
          </w:p>
        </w:tc>
        <w:tc>
          <w:tcPr>
            <w:tcW w:w="1936" w:type="pct"/>
            <w:tcBorders>
              <w:top w:val="single" w:sz="6" w:space="0" w:color="CCCCCC"/>
              <w:left w:val="single" w:sz="6" w:space="0" w:color="CCCCCC"/>
              <w:bottom w:val="single" w:sz="6" w:space="0" w:color="CCCCCC"/>
              <w:right w:val="single" w:sz="6" w:space="0" w:color="CCCCCC"/>
            </w:tcBorders>
          </w:tcPr>
          <w:p w14:paraId="7C00643B" w14:textId="149C4CD4" w:rsidR="006A5881" w:rsidRPr="00CE310D" w:rsidRDefault="00D42D79" w:rsidP="006A5881">
            <w:pPr>
              <w:ind w:left="39"/>
              <w:rPr>
                <w:rFonts w:asciiTheme="minorHAnsi" w:hAnsiTheme="minorHAnsi" w:cstheme="minorHAnsi"/>
                <w:b/>
                <w:sz w:val="20"/>
                <w:szCs w:val="20"/>
              </w:rPr>
            </w:pPr>
            <w:r w:rsidRPr="00117EF1">
              <w:rPr>
                <w:rFonts w:asciiTheme="minorHAnsi" w:hAnsiTheme="minorHAnsi" w:cstheme="minorHAnsi"/>
                <w:sz w:val="20"/>
                <w:szCs w:val="20"/>
              </w:rPr>
              <w:t>Vidi odgovor na prethodni komentar</w:t>
            </w:r>
          </w:p>
        </w:tc>
      </w:tr>
    </w:tbl>
    <w:p w14:paraId="532CABC3" w14:textId="77777777" w:rsidR="007D6633" w:rsidRPr="00CE310D" w:rsidRDefault="007D6633" w:rsidP="00FD60B4">
      <w:pPr>
        <w:rPr>
          <w:rFonts w:asciiTheme="minorHAnsi" w:hAnsiTheme="minorHAnsi" w:cstheme="minorHAnsi"/>
          <w:sz w:val="20"/>
          <w:szCs w:val="20"/>
        </w:rPr>
      </w:pPr>
    </w:p>
    <w:sectPr w:rsidR="007D6633" w:rsidRPr="00CE310D" w:rsidSect="007664C8">
      <w:headerReference w:type="default" r:id="rId12"/>
      <w:headerReference w:type="first" r:id="rId13"/>
      <w:footerReference w:type="first" r:id="rId14"/>
      <w:pgSz w:w="16838" w:h="11906" w:orient="landscape" w:code="9"/>
      <w:pgMar w:top="1021" w:right="1644" w:bottom="1021" w:left="164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0BCC" w14:textId="77777777" w:rsidR="00B94686" w:rsidRDefault="00B94686">
      <w:r>
        <w:separator/>
      </w:r>
    </w:p>
  </w:endnote>
  <w:endnote w:type="continuationSeparator" w:id="0">
    <w:p w14:paraId="3F9797AB" w14:textId="77777777" w:rsidR="00B94686" w:rsidRDefault="00B94686">
      <w:r>
        <w:continuationSeparator/>
      </w:r>
    </w:p>
  </w:endnote>
  <w:endnote w:type="continuationNotice" w:id="1">
    <w:p w14:paraId="30BBE65E" w14:textId="77777777" w:rsidR="00B94686" w:rsidRDefault="00B9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DINCE-Regular">
    <w:altName w:val="Times New Roman"/>
    <w:panose1 w:val="00000000000000000000"/>
    <w:charset w:val="EE"/>
    <w:family w:val="auto"/>
    <w:notTrueType/>
    <w:pitch w:val="variable"/>
    <w:sig w:usb0="00000001"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CB19" w14:textId="2BC0E236" w:rsidR="00CD2D5F" w:rsidRPr="008639AE" w:rsidRDefault="00CD2D5F" w:rsidP="00192D15">
    <w:pPr>
      <w:pStyle w:val="Footer"/>
      <w:tabs>
        <w:tab w:val="clear" w:pos="4320"/>
        <w:tab w:val="clear" w:pos="8640"/>
      </w:tabs>
      <w:spacing w:line="240" w:lineRule="auto"/>
      <w:ind w:left="-357" w:right="-357"/>
      <w:rPr>
        <w:rFonts w:ascii="DINCE-Regular" w:hAnsi="DINCE-Regular"/>
      </w:rPr>
    </w:pPr>
    <w:r w:rsidRPr="008639AE">
      <w:rPr>
        <w:rFonts w:ascii="DINCE-Regular" w:hAnsi="DINCE-Regular"/>
        <w:noProof/>
      </w:rPr>
      <mc:AlternateContent>
        <mc:Choice Requires="wps">
          <w:drawing>
            <wp:inline distT="0" distB="0" distL="0" distR="0" wp14:anchorId="3A20E657" wp14:editId="1B315B1E">
              <wp:extent cx="6480175" cy="0"/>
              <wp:effectExtent l="9525" t="9525" r="6350" b="9525"/>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
                        <a:solidFill>
                          <a:srgbClr val="024182"/>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CB7FAA" id="Line 13" o:spid="_x0000_s1026"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obFAIAACk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" strokecolor="#024182" strokeweight=".1pt">
              <w10:anchorlock/>
            </v:line>
          </w:pict>
        </mc:Fallback>
      </mc:AlternateContent>
    </w:r>
  </w:p>
  <w:p w14:paraId="468255E6" w14:textId="53B4F071" w:rsidR="00CD2D5F" w:rsidRPr="00605B1D" w:rsidRDefault="00CD2D5F" w:rsidP="005B56E5">
    <w:pPr>
      <w:pStyle w:val="Footer"/>
      <w:tabs>
        <w:tab w:val="clear" w:pos="4320"/>
        <w:tab w:val="clear" w:pos="8640"/>
      </w:tabs>
      <w:spacing w:before="80"/>
      <w:rPr>
        <w:rFonts w:ascii="Corbel" w:hAnsi="Corbel"/>
        <w:b/>
        <w:sz w:val="15"/>
        <w:szCs w:val="15"/>
      </w:rPr>
    </w:pPr>
    <w:r w:rsidRPr="00605B1D">
      <w:rPr>
        <w:rFonts w:ascii="Corbel" w:hAnsi="Corbel"/>
        <w:b/>
        <w:sz w:val="15"/>
        <w:szCs w:val="15"/>
      </w:rPr>
      <w:t>HRVATSKA REGULATORNA AGENCIJA ZA MREŽNE DJELATNOSTI</w:t>
    </w:r>
  </w:p>
  <w:p w14:paraId="11262DE7" w14:textId="4CF3B343" w:rsidR="00CD2D5F" w:rsidRPr="005B56E5" w:rsidRDefault="00CD2D5F" w:rsidP="005B56E5">
    <w:pPr>
      <w:pStyle w:val="Footer"/>
      <w:tabs>
        <w:tab w:val="clear" w:pos="4320"/>
        <w:tab w:val="clear" w:pos="8640"/>
      </w:tabs>
      <w:ind w:left="-142" w:right="-143"/>
      <w:rPr>
        <w:rFonts w:ascii="Corbel" w:hAnsi="Corbel"/>
        <w:sz w:val="15"/>
        <w:szCs w:val="15"/>
      </w:rPr>
    </w:pPr>
    <w:r w:rsidRPr="00605B1D">
      <w:rPr>
        <w:rFonts w:ascii="Corbel" w:hAnsi="Corbel"/>
        <w:sz w:val="15"/>
        <w:szCs w:val="15"/>
      </w:rPr>
      <w:t>Roberta Frangeša Mihanovi</w:t>
    </w:r>
    <w:r w:rsidRPr="00605B1D">
      <w:rPr>
        <w:rFonts w:ascii="Corbel" w:hAnsi="Corbel" w:cs="Cambria"/>
        <w:sz w:val="15"/>
        <w:szCs w:val="15"/>
      </w:rPr>
      <w:t>ć</w:t>
    </w:r>
    <w:r w:rsidRPr="00605B1D">
      <w:rPr>
        <w:rFonts w:ascii="Corbel" w:hAnsi="Corbel"/>
        <w:sz w:val="15"/>
        <w:szCs w:val="15"/>
      </w:rPr>
      <w:t xml:space="preserve">a 9, 10110 Zagreb / </w:t>
    </w:r>
    <w:proofErr w:type="spellStart"/>
    <w:r w:rsidRPr="00605B1D">
      <w:rPr>
        <w:rFonts w:ascii="Corbel" w:hAnsi="Corbel"/>
        <w:sz w:val="15"/>
        <w:szCs w:val="15"/>
      </w:rPr>
      <w:t>OIB</w:t>
    </w:r>
    <w:proofErr w:type="spellEnd"/>
    <w:r w:rsidRPr="00605B1D">
      <w:rPr>
        <w:rFonts w:ascii="Corbel" w:hAnsi="Corbel"/>
        <w:sz w:val="15"/>
        <w:szCs w:val="15"/>
      </w:rPr>
      <w:t>: 87950783661 / Tel: (01) 7007 007, Faks: (01) 7007 070 / www.hakom.hr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400C" w14:textId="77777777" w:rsidR="00B94686" w:rsidRDefault="00B94686">
      <w:r>
        <w:separator/>
      </w:r>
    </w:p>
  </w:footnote>
  <w:footnote w:type="continuationSeparator" w:id="0">
    <w:p w14:paraId="1A56B890" w14:textId="77777777" w:rsidR="00B94686" w:rsidRDefault="00B94686">
      <w:r>
        <w:continuationSeparator/>
      </w:r>
    </w:p>
  </w:footnote>
  <w:footnote w:type="continuationNotice" w:id="1">
    <w:p w14:paraId="0AEEC4D9" w14:textId="77777777" w:rsidR="00B94686" w:rsidRDefault="00B946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2D9E" w14:textId="77777777" w:rsidR="00CD2D5F" w:rsidRDefault="00CD2D5F" w:rsidP="00731423">
    <w:pPr>
      <w:pStyle w:val="Header"/>
      <w:tabs>
        <w:tab w:val="clear" w:pos="4536"/>
        <w:tab w:val="clear" w:pos="9072"/>
      </w:tabs>
      <w:ind w:left="-360" w:right="-442"/>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EB19" w14:textId="77777777" w:rsidR="00CD2D5F" w:rsidRDefault="00CD2D5F" w:rsidP="00192D15">
    <w:pPr>
      <w:pStyle w:val="Header"/>
      <w:tabs>
        <w:tab w:val="clear" w:pos="4536"/>
        <w:tab w:val="clear" w:pos="9072"/>
      </w:tabs>
      <w:ind w:left="-357" w:right="-357"/>
      <w:jc w:val="center"/>
    </w:pPr>
    <w:r w:rsidRPr="009F6CDB">
      <w:rPr>
        <w:noProof/>
      </w:rPr>
      <w:drawing>
        <wp:inline distT="0" distB="0" distL="0" distR="0" wp14:anchorId="02A75369" wp14:editId="6837A77A">
          <wp:extent cx="1057523" cy="1025220"/>
          <wp:effectExtent l="0" t="0" r="0" b="3810"/>
          <wp:docPr id="2" name="Picture 2" descr="\\hzt.local\hakom\Mape_Odjela\KIS\Vizualni identitet HAKOM - javno\HAKOM color logotip 1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zt.local\hakom\Mape_Odjela\KIS\Vizualni identitet HAKOM - javno\HAKOM color logotip 1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152" cy="1030677"/>
                  </a:xfrm>
                  <a:prstGeom prst="rect">
                    <a:avLst/>
                  </a:prstGeom>
                  <a:noFill/>
                  <a:ln>
                    <a:noFill/>
                  </a:ln>
                </pic:spPr>
              </pic:pic>
            </a:graphicData>
          </a:graphic>
        </wp:inline>
      </w:drawing>
    </w:r>
  </w:p>
  <w:p w14:paraId="5E51FAB1" w14:textId="77777777" w:rsidR="00CD2D5F" w:rsidRDefault="00CD2D5F" w:rsidP="00192D15">
    <w:pPr>
      <w:pStyle w:val="Header"/>
      <w:tabs>
        <w:tab w:val="clear" w:pos="4536"/>
        <w:tab w:val="clear" w:pos="9072"/>
      </w:tabs>
      <w:ind w:left="-357" w:right="-357"/>
      <w:jc w:val="center"/>
    </w:pPr>
  </w:p>
  <w:p w14:paraId="083AE767" w14:textId="77777777" w:rsidR="00CD2D5F" w:rsidRDefault="00CD2D5F" w:rsidP="006C77C3">
    <w:pPr>
      <w:pStyle w:val="Header"/>
      <w:tabs>
        <w:tab w:val="clear" w:pos="4536"/>
        <w:tab w:val="clear" w:pos="9072"/>
      </w:tabs>
      <w:ind w:left="-357" w:right="-357"/>
      <w:jc w:val="right"/>
    </w:pPr>
    <w:r>
      <w:rPr>
        <w:rFonts w:ascii="Times New Roman" w:hAnsi="Times New Roman"/>
        <w:b/>
        <w:sz w:val="24"/>
      </w:rPr>
      <w:t>PRIJEDLOG ZA JAVNO SAVJETOVANJE</w:t>
    </w:r>
  </w:p>
  <w:p w14:paraId="6D7ABF1F" w14:textId="77777777" w:rsidR="00CD2D5F" w:rsidRDefault="00CD2D5F" w:rsidP="006C77C3">
    <w:pPr>
      <w:pStyle w:val="Header"/>
      <w:tabs>
        <w:tab w:val="clear" w:pos="4536"/>
        <w:tab w:val="clear" w:pos="9072"/>
      </w:tabs>
      <w:spacing w:after="60"/>
      <w:ind w:right="9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D55"/>
    <w:multiLevelType w:val="hybridMultilevel"/>
    <w:tmpl w:val="323805DC"/>
    <w:lvl w:ilvl="0" w:tplc="D988C6DA">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70FE"/>
    <w:multiLevelType w:val="multilevel"/>
    <w:tmpl w:val="0409001F"/>
    <w:styleLink w:val="Style2"/>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513CC5"/>
    <w:multiLevelType w:val="hybridMultilevel"/>
    <w:tmpl w:val="1768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A5E0A"/>
    <w:multiLevelType w:val="multilevel"/>
    <w:tmpl w:val="0409001F"/>
    <w:numStyleLink w:val="Style2"/>
  </w:abstractNum>
  <w:abstractNum w:abstractNumId="4" w15:restartNumberingAfterBreak="0">
    <w:nsid w:val="19F02F5B"/>
    <w:multiLevelType w:val="hybridMultilevel"/>
    <w:tmpl w:val="CECA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209E3"/>
    <w:multiLevelType w:val="hybridMultilevel"/>
    <w:tmpl w:val="645819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7A5669C"/>
    <w:multiLevelType w:val="hybridMultilevel"/>
    <w:tmpl w:val="5558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6155C1"/>
    <w:multiLevelType w:val="hybridMultilevel"/>
    <w:tmpl w:val="1D4E8F26"/>
    <w:lvl w:ilvl="0" w:tplc="5762A532">
      <w:start w:val="1"/>
      <w:numFmt w:val="lowerLetter"/>
      <w:lvlText w:val="%1)"/>
      <w:lvlJc w:val="left"/>
      <w:pPr>
        <w:ind w:left="250" w:hanging="360"/>
      </w:pPr>
      <w:rPr>
        <w:rFonts w:hint="default"/>
      </w:rPr>
    </w:lvl>
    <w:lvl w:ilvl="1" w:tplc="041A0019" w:tentative="1">
      <w:start w:val="1"/>
      <w:numFmt w:val="lowerLetter"/>
      <w:lvlText w:val="%2."/>
      <w:lvlJc w:val="left"/>
      <w:pPr>
        <w:ind w:left="970" w:hanging="360"/>
      </w:pPr>
    </w:lvl>
    <w:lvl w:ilvl="2" w:tplc="041A001B" w:tentative="1">
      <w:start w:val="1"/>
      <w:numFmt w:val="lowerRoman"/>
      <w:lvlText w:val="%3."/>
      <w:lvlJc w:val="right"/>
      <w:pPr>
        <w:ind w:left="1690" w:hanging="180"/>
      </w:pPr>
    </w:lvl>
    <w:lvl w:ilvl="3" w:tplc="041A000F" w:tentative="1">
      <w:start w:val="1"/>
      <w:numFmt w:val="decimal"/>
      <w:lvlText w:val="%4."/>
      <w:lvlJc w:val="left"/>
      <w:pPr>
        <w:ind w:left="2410" w:hanging="360"/>
      </w:pPr>
    </w:lvl>
    <w:lvl w:ilvl="4" w:tplc="041A0019" w:tentative="1">
      <w:start w:val="1"/>
      <w:numFmt w:val="lowerLetter"/>
      <w:lvlText w:val="%5."/>
      <w:lvlJc w:val="left"/>
      <w:pPr>
        <w:ind w:left="3130" w:hanging="360"/>
      </w:pPr>
    </w:lvl>
    <w:lvl w:ilvl="5" w:tplc="041A001B" w:tentative="1">
      <w:start w:val="1"/>
      <w:numFmt w:val="lowerRoman"/>
      <w:lvlText w:val="%6."/>
      <w:lvlJc w:val="right"/>
      <w:pPr>
        <w:ind w:left="3850" w:hanging="180"/>
      </w:pPr>
    </w:lvl>
    <w:lvl w:ilvl="6" w:tplc="041A000F" w:tentative="1">
      <w:start w:val="1"/>
      <w:numFmt w:val="decimal"/>
      <w:lvlText w:val="%7."/>
      <w:lvlJc w:val="left"/>
      <w:pPr>
        <w:ind w:left="4570" w:hanging="360"/>
      </w:pPr>
    </w:lvl>
    <w:lvl w:ilvl="7" w:tplc="041A0019" w:tentative="1">
      <w:start w:val="1"/>
      <w:numFmt w:val="lowerLetter"/>
      <w:lvlText w:val="%8."/>
      <w:lvlJc w:val="left"/>
      <w:pPr>
        <w:ind w:left="5290" w:hanging="360"/>
      </w:pPr>
    </w:lvl>
    <w:lvl w:ilvl="8" w:tplc="041A001B" w:tentative="1">
      <w:start w:val="1"/>
      <w:numFmt w:val="lowerRoman"/>
      <w:lvlText w:val="%9."/>
      <w:lvlJc w:val="right"/>
      <w:pPr>
        <w:ind w:left="6010" w:hanging="180"/>
      </w:pPr>
    </w:lvl>
  </w:abstractNum>
  <w:abstractNum w:abstractNumId="8" w15:restartNumberingAfterBreak="0">
    <w:nsid w:val="51FF6D78"/>
    <w:multiLevelType w:val="hybridMultilevel"/>
    <w:tmpl w:val="E90AD0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496184"/>
    <w:multiLevelType w:val="hybridMultilevel"/>
    <w:tmpl w:val="950E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3314B"/>
    <w:multiLevelType w:val="hybridMultilevel"/>
    <w:tmpl w:val="645819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A10166C"/>
    <w:multiLevelType w:val="hybridMultilevel"/>
    <w:tmpl w:val="CBCCC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B095429"/>
    <w:multiLevelType w:val="multilevel"/>
    <w:tmpl w:val="0F62A7E6"/>
    <w:styleLink w:val="Style1"/>
    <w:lvl w:ilvl="0">
      <w:start w:val="1"/>
      <w:numFmt w:val="upperRoman"/>
      <w:lvlText w:val="%1."/>
      <w:lvlJc w:val="left"/>
      <w:pPr>
        <w:ind w:left="360" w:hanging="360"/>
      </w:pPr>
      <w:rPr>
        <w:rFonts w:hint="default"/>
        <w:b/>
      </w:rPr>
    </w:lvl>
    <w:lvl w:ilvl="1">
      <w:numFmt w:val="bullet"/>
      <w:lvlText w:val="-"/>
      <w:lvlJc w:val="left"/>
      <w:pPr>
        <w:ind w:left="4058" w:hanging="360"/>
      </w:pPr>
      <w:rPr>
        <w:rFonts w:ascii="Times New Roman" w:eastAsia="Times New Roman" w:hAnsi="Times New Roman" w:cs="Times New Roman" w:hint="default"/>
      </w:r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num w:numId="1">
    <w:abstractNumId w:val="3"/>
  </w:num>
  <w:num w:numId="2">
    <w:abstractNumId w:val="4"/>
  </w:num>
  <w:num w:numId="3">
    <w:abstractNumId w:val="0"/>
  </w:num>
  <w:num w:numId="4">
    <w:abstractNumId w:val="9"/>
  </w:num>
  <w:num w:numId="5">
    <w:abstractNumId w:val="1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6145">
      <o:colormru v:ext="edit" colors="#0241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7"/>
    <w:rsid w:val="0000217E"/>
    <w:rsid w:val="00004A56"/>
    <w:rsid w:val="000125BA"/>
    <w:rsid w:val="00012A08"/>
    <w:rsid w:val="00013A21"/>
    <w:rsid w:val="00014256"/>
    <w:rsid w:val="00017189"/>
    <w:rsid w:val="00023DBF"/>
    <w:rsid w:val="0002784F"/>
    <w:rsid w:val="00031F0C"/>
    <w:rsid w:val="000347B9"/>
    <w:rsid w:val="00035E87"/>
    <w:rsid w:val="000363FA"/>
    <w:rsid w:val="00040D85"/>
    <w:rsid w:val="0006010F"/>
    <w:rsid w:val="0006437C"/>
    <w:rsid w:val="00064A4F"/>
    <w:rsid w:val="0006690E"/>
    <w:rsid w:val="00067C98"/>
    <w:rsid w:val="00073C41"/>
    <w:rsid w:val="00075426"/>
    <w:rsid w:val="000805B7"/>
    <w:rsid w:val="00086536"/>
    <w:rsid w:val="00092530"/>
    <w:rsid w:val="00094A83"/>
    <w:rsid w:val="000A1F16"/>
    <w:rsid w:val="000A38F3"/>
    <w:rsid w:val="000A3D99"/>
    <w:rsid w:val="000A7970"/>
    <w:rsid w:val="000C0A11"/>
    <w:rsid w:val="000C4706"/>
    <w:rsid w:val="000C77C7"/>
    <w:rsid w:val="000D1FBC"/>
    <w:rsid w:val="000D2DEA"/>
    <w:rsid w:val="000D41FE"/>
    <w:rsid w:val="000E4FB2"/>
    <w:rsid w:val="000F0727"/>
    <w:rsid w:val="000F6092"/>
    <w:rsid w:val="000F79E0"/>
    <w:rsid w:val="000F7A3F"/>
    <w:rsid w:val="00102A27"/>
    <w:rsid w:val="00102ABF"/>
    <w:rsid w:val="00102E51"/>
    <w:rsid w:val="00111437"/>
    <w:rsid w:val="00111D31"/>
    <w:rsid w:val="0011436B"/>
    <w:rsid w:val="001144B4"/>
    <w:rsid w:val="00116965"/>
    <w:rsid w:val="00120AA8"/>
    <w:rsid w:val="00121580"/>
    <w:rsid w:val="00124418"/>
    <w:rsid w:val="00124468"/>
    <w:rsid w:val="00130955"/>
    <w:rsid w:val="00132EA6"/>
    <w:rsid w:val="00137A2E"/>
    <w:rsid w:val="00143E74"/>
    <w:rsid w:val="00145C97"/>
    <w:rsid w:val="0015172B"/>
    <w:rsid w:val="001617C9"/>
    <w:rsid w:val="001641A4"/>
    <w:rsid w:val="00165B16"/>
    <w:rsid w:val="00192997"/>
    <w:rsid w:val="00192D15"/>
    <w:rsid w:val="001A0327"/>
    <w:rsid w:val="001A148E"/>
    <w:rsid w:val="001A21EF"/>
    <w:rsid w:val="001A592A"/>
    <w:rsid w:val="001B2383"/>
    <w:rsid w:val="001B4429"/>
    <w:rsid w:val="001C685D"/>
    <w:rsid w:val="001D308C"/>
    <w:rsid w:val="001E4AB0"/>
    <w:rsid w:val="001F2BAB"/>
    <w:rsid w:val="001F4005"/>
    <w:rsid w:val="00202522"/>
    <w:rsid w:val="00206F40"/>
    <w:rsid w:val="0021043F"/>
    <w:rsid w:val="00210C31"/>
    <w:rsid w:val="00211FC2"/>
    <w:rsid w:val="002125DE"/>
    <w:rsid w:val="0021579E"/>
    <w:rsid w:val="002307B2"/>
    <w:rsid w:val="00232E77"/>
    <w:rsid w:val="002342D3"/>
    <w:rsid w:val="00234A38"/>
    <w:rsid w:val="00244A64"/>
    <w:rsid w:val="00246E20"/>
    <w:rsid w:val="00251960"/>
    <w:rsid w:val="00253DF7"/>
    <w:rsid w:val="00263632"/>
    <w:rsid w:val="0026730B"/>
    <w:rsid w:val="002709D4"/>
    <w:rsid w:val="002744E6"/>
    <w:rsid w:val="00275202"/>
    <w:rsid w:val="00282FB9"/>
    <w:rsid w:val="002970F3"/>
    <w:rsid w:val="002A3044"/>
    <w:rsid w:val="002A3618"/>
    <w:rsid w:val="002A7CE2"/>
    <w:rsid w:val="002B1C67"/>
    <w:rsid w:val="002B620F"/>
    <w:rsid w:val="002B6E48"/>
    <w:rsid w:val="002C0297"/>
    <w:rsid w:val="002C07BD"/>
    <w:rsid w:val="002C0848"/>
    <w:rsid w:val="002C72E7"/>
    <w:rsid w:val="002C7E41"/>
    <w:rsid w:val="002F5BF0"/>
    <w:rsid w:val="002F7806"/>
    <w:rsid w:val="0030541B"/>
    <w:rsid w:val="00310964"/>
    <w:rsid w:val="00313223"/>
    <w:rsid w:val="00313F16"/>
    <w:rsid w:val="00316395"/>
    <w:rsid w:val="0032262F"/>
    <w:rsid w:val="00335BCE"/>
    <w:rsid w:val="00336599"/>
    <w:rsid w:val="0034609A"/>
    <w:rsid w:val="003462FD"/>
    <w:rsid w:val="00353AB2"/>
    <w:rsid w:val="00353E2B"/>
    <w:rsid w:val="00354549"/>
    <w:rsid w:val="003607A3"/>
    <w:rsid w:val="00361156"/>
    <w:rsid w:val="00361840"/>
    <w:rsid w:val="003663A0"/>
    <w:rsid w:val="00370283"/>
    <w:rsid w:val="003744C6"/>
    <w:rsid w:val="003766B4"/>
    <w:rsid w:val="0038675F"/>
    <w:rsid w:val="003939F5"/>
    <w:rsid w:val="003A6B22"/>
    <w:rsid w:val="003A72C1"/>
    <w:rsid w:val="003A75B4"/>
    <w:rsid w:val="003B3678"/>
    <w:rsid w:val="003B405B"/>
    <w:rsid w:val="003B4365"/>
    <w:rsid w:val="003B7CEE"/>
    <w:rsid w:val="003C1360"/>
    <w:rsid w:val="003C5848"/>
    <w:rsid w:val="003D4B79"/>
    <w:rsid w:val="003D6073"/>
    <w:rsid w:val="003D77EC"/>
    <w:rsid w:val="003D7972"/>
    <w:rsid w:val="003D7AE9"/>
    <w:rsid w:val="003E36A1"/>
    <w:rsid w:val="003E43BC"/>
    <w:rsid w:val="003E7909"/>
    <w:rsid w:val="003F4365"/>
    <w:rsid w:val="003F5D9E"/>
    <w:rsid w:val="004046FA"/>
    <w:rsid w:val="00407BB1"/>
    <w:rsid w:val="00414A9E"/>
    <w:rsid w:val="004161EC"/>
    <w:rsid w:val="00417C70"/>
    <w:rsid w:val="004244A6"/>
    <w:rsid w:val="00425124"/>
    <w:rsid w:val="00426033"/>
    <w:rsid w:val="00435C3D"/>
    <w:rsid w:val="00441FAE"/>
    <w:rsid w:val="00446D5D"/>
    <w:rsid w:val="00447976"/>
    <w:rsid w:val="0045274F"/>
    <w:rsid w:val="00467F65"/>
    <w:rsid w:val="004807E0"/>
    <w:rsid w:val="004842B7"/>
    <w:rsid w:val="004873AC"/>
    <w:rsid w:val="004A3402"/>
    <w:rsid w:val="004A5506"/>
    <w:rsid w:val="004A6DDC"/>
    <w:rsid w:val="004A7435"/>
    <w:rsid w:val="004A7EF8"/>
    <w:rsid w:val="004B5A09"/>
    <w:rsid w:val="004B5D02"/>
    <w:rsid w:val="004C32C3"/>
    <w:rsid w:val="004C5382"/>
    <w:rsid w:val="004D2C9B"/>
    <w:rsid w:val="004E1AFD"/>
    <w:rsid w:val="004E76DB"/>
    <w:rsid w:val="004F2A44"/>
    <w:rsid w:val="0050217E"/>
    <w:rsid w:val="00502E6C"/>
    <w:rsid w:val="00506462"/>
    <w:rsid w:val="00507DEB"/>
    <w:rsid w:val="00507EC7"/>
    <w:rsid w:val="0051069A"/>
    <w:rsid w:val="0051667B"/>
    <w:rsid w:val="005347E9"/>
    <w:rsid w:val="005457F5"/>
    <w:rsid w:val="00551520"/>
    <w:rsid w:val="00563CDB"/>
    <w:rsid w:val="005673CA"/>
    <w:rsid w:val="00572354"/>
    <w:rsid w:val="00572A77"/>
    <w:rsid w:val="005777ED"/>
    <w:rsid w:val="00597F74"/>
    <w:rsid w:val="005A3610"/>
    <w:rsid w:val="005B0E43"/>
    <w:rsid w:val="005B56E5"/>
    <w:rsid w:val="005B7122"/>
    <w:rsid w:val="005C11AF"/>
    <w:rsid w:val="005C2165"/>
    <w:rsid w:val="005C2633"/>
    <w:rsid w:val="005D00F7"/>
    <w:rsid w:val="005D3C53"/>
    <w:rsid w:val="005D633C"/>
    <w:rsid w:val="005D6902"/>
    <w:rsid w:val="005D7CAB"/>
    <w:rsid w:val="005E0ACD"/>
    <w:rsid w:val="005E707E"/>
    <w:rsid w:val="005F357B"/>
    <w:rsid w:val="005F3BAF"/>
    <w:rsid w:val="006057B8"/>
    <w:rsid w:val="00613FAF"/>
    <w:rsid w:val="00616BF1"/>
    <w:rsid w:val="00623919"/>
    <w:rsid w:val="00626792"/>
    <w:rsid w:val="006277AA"/>
    <w:rsid w:val="006302DA"/>
    <w:rsid w:val="00630342"/>
    <w:rsid w:val="00634F85"/>
    <w:rsid w:val="0065292C"/>
    <w:rsid w:val="0065308E"/>
    <w:rsid w:val="00653F04"/>
    <w:rsid w:val="006560D9"/>
    <w:rsid w:val="00660CF4"/>
    <w:rsid w:val="00662682"/>
    <w:rsid w:val="006640B9"/>
    <w:rsid w:val="006659A1"/>
    <w:rsid w:val="00667974"/>
    <w:rsid w:val="00670C71"/>
    <w:rsid w:val="00670D17"/>
    <w:rsid w:val="00676F84"/>
    <w:rsid w:val="006843E1"/>
    <w:rsid w:val="00693ADD"/>
    <w:rsid w:val="006A082D"/>
    <w:rsid w:val="006A1F6F"/>
    <w:rsid w:val="006A5881"/>
    <w:rsid w:val="006B1850"/>
    <w:rsid w:val="006B2C89"/>
    <w:rsid w:val="006B78DA"/>
    <w:rsid w:val="006C636B"/>
    <w:rsid w:val="006C77C3"/>
    <w:rsid w:val="006D461E"/>
    <w:rsid w:val="006E0B9D"/>
    <w:rsid w:val="006F10AB"/>
    <w:rsid w:val="006F1EFD"/>
    <w:rsid w:val="006F32B7"/>
    <w:rsid w:val="00702429"/>
    <w:rsid w:val="00710A50"/>
    <w:rsid w:val="00716DEF"/>
    <w:rsid w:val="0072124E"/>
    <w:rsid w:val="00726B17"/>
    <w:rsid w:val="00731423"/>
    <w:rsid w:val="00734F1A"/>
    <w:rsid w:val="0073644A"/>
    <w:rsid w:val="00737DAF"/>
    <w:rsid w:val="00741C05"/>
    <w:rsid w:val="00742021"/>
    <w:rsid w:val="007447D5"/>
    <w:rsid w:val="007512D0"/>
    <w:rsid w:val="00761846"/>
    <w:rsid w:val="00763DB8"/>
    <w:rsid w:val="00764815"/>
    <w:rsid w:val="007664C8"/>
    <w:rsid w:val="0077730E"/>
    <w:rsid w:val="007811A7"/>
    <w:rsid w:val="00785EA1"/>
    <w:rsid w:val="00786580"/>
    <w:rsid w:val="00787707"/>
    <w:rsid w:val="007930A0"/>
    <w:rsid w:val="00793180"/>
    <w:rsid w:val="00794EF8"/>
    <w:rsid w:val="00795CD5"/>
    <w:rsid w:val="007A0739"/>
    <w:rsid w:val="007A08B5"/>
    <w:rsid w:val="007A381C"/>
    <w:rsid w:val="007B24A0"/>
    <w:rsid w:val="007B663A"/>
    <w:rsid w:val="007B7291"/>
    <w:rsid w:val="007C0336"/>
    <w:rsid w:val="007C438E"/>
    <w:rsid w:val="007C504C"/>
    <w:rsid w:val="007C6BA4"/>
    <w:rsid w:val="007D24E5"/>
    <w:rsid w:val="007D6633"/>
    <w:rsid w:val="007E42BA"/>
    <w:rsid w:val="007E5A69"/>
    <w:rsid w:val="007E755E"/>
    <w:rsid w:val="007F2176"/>
    <w:rsid w:val="007F2FD7"/>
    <w:rsid w:val="007F4D9A"/>
    <w:rsid w:val="00800CCF"/>
    <w:rsid w:val="00802CF8"/>
    <w:rsid w:val="00803542"/>
    <w:rsid w:val="00805473"/>
    <w:rsid w:val="00810A8F"/>
    <w:rsid w:val="00814EA6"/>
    <w:rsid w:val="00815369"/>
    <w:rsid w:val="00816926"/>
    <w:rsid w:val="00823BC1"/>
    <w:rsid w:val="00823BEB"/>
    <w:rsid w:val="00827344"/>
    <w:rsid w:val="008316AB"/>
    <w:rsid w:val="008338FB"/>
    <w:rsid w:val="00844E6A"/>
    <w:rsid w:val="008501D6"/>
    <w:rsid w:val="008509C9"/>
    <w:rsid w:val="008552EF"/>
    <w:rsid w:val="008577F4"/>
    <w:rsid w:val="008579E9"/>
    <w:rsid w:val="00862A5F"/>
    <w:rsid w:val="008638F5"/>
    <w:rsid w:val="008639AE"/>
    <w:rsid w:val="008663E5"/>
    <w:rsid w:val="008707ED"/>
    <w:rsid w:val="00871283"/>
    <w:rsid w:val="008762A4"/>
    <w:rsid w:val="008765E4"/>
    <w:rsid w:val="00876905"/>
    <w:rsid w:val="00883279"/>
    <w:rsid w:val="008832AE"/>
    <w:rsid w:val="008943E9"/>
    <w:rsid w:val="00895989"/>
    <w:rsid w:val="008A1162"/>
    <w:rsid w:val="008A50B5"/>
    <w:rsid w:val="008B4193"/>
    <w:rsid w:val="008B7D18"/>
    <w:rsid w:val="008C0B8A"/>
    <w:rsid w:val="008C1AB3"/>
    <w:rsid w:val="008C375E"/>
    <w:rsid w:val="008C50C7"/>
    <w:rsid w:val="008D1FA7"/>
    <w:rsid w:val="008D3944"/>
    <w:rsid w:val="008D5604"/>
    <w:rsid w:val="008D5F63"/>
    <w:rsid w:val="008D6E99"/>
    <w:rsid w:val="008E1E03"/>
    <w:rsid w:val="008E361E"/>
    <w:rsid w:val="008E53DC"/>
    <w:rsid w:val="008F1418"/>
    <w:rsid w:val="008F15EA"/>
    <w:rsid w:val="008F1E8B"/>
    <w:rsid w:val="008F32E5"/>
    <w:rsid w:val="008F63EB"/>
    <w:rsid w:val="008F6873"/>
    <w:rsid w:val="00900CDC"/>
    <w:rsid w:val="00902B17"/>
    <w:rsid w:val="00904E50"/>
    <w:rsid w:val="0091001E"/>
    <w:rsid w:val="00914CC5"/>
    <w:rsid w:val="00917E73"/>
    <w:rsid w:val="009205E6"/>
    <w:rsid w:val="00921084"/>
    <w:rsid w:val="009210C6"/>
    <w:rsid w:val="00934408"/>
    <w:rsid w:val="00935CFC"/>
    <w:rsid w:val="00941D26"/>
    <w:rsid w:val="00943DC3"/>
    <w:rsid w:val="009468AE"/>
    <w:rsid w:val="00953CC2"/>
    <w:rsid w:val="00955CEB"/>
    <w:rsid w:val="009568E1"/>
    <w:rsid w:val="009645C8"/>
    <w:rsid w:val="00964B0D"/>
    <w:rsid w:val="00977F66"/>
    <w:rsid w:val="00986F67"/>
    <w:rsid w:val="009A57FC"/>
    <w:rsid w:val="009A7313"/>
    <w:rsid w:val="009B1EE6"/>
    <w:rsid w:val="009B650C"/>
    <w:rsid w:val="009B6CB6"/>
    <w:rsid w:val="009C1B41"/>
    <w:rsid w:val="009C51BB"/>
    <w:rsid w:val="009E7FB9"/>
    <w:rsid w:val="009F3FBB"/>
    <w:rsid w:val="009F4BBF"/>
    <w:rsid w:val="00A00FB9"/>
    <w:rsid w:val="00A0296D"/>
    <w:rsid w:val="00A02BDA"/>
    <w:rsid w:val="00A03BA2"/>
    <w:rsid w:val="00A03CA8"/>
    <w:rsid w:val="00A06D88"/>
    <w:rsid w:val="00A12DA3"/>
    <w:rsid w:val="00A207FA"/>
    <w:rsid w:val="00A22FE2"/>
    <w:rsid w:val="00A24325"/>
    <w:rsid w:val="00A27C06"/>
    <w:rsid w:val="00A317CD"/>
    <w:rsid w:val="00A3196B"/>
    <w:rsid w:val="00A31AE4"/>
    <w:rsid w:val="00A41300"/>
    <w:rsid w:val="00A5276E"/>
    <w:rsid w:val="00A543E0"/>
    <w:rsid w:val="00A615C9"/>
    <w:rsid w:val="00A651B0"/>
    <w:rsid w:val="00A70522"/>
    <w:rsid w:val="00A72593"/>
    <w:rsid w:val="00A7509E"/>
    <w:rsid w:val="00A7582F"/>
    <w:rsid w:val="00A82379"/>
    <w:rsid w:val="00A839B2"/>
    <w:rsid w:val="00A954D2"/>
    <w:rsid w:val="00AA0B67"/>
    <w:rsid w:val="00AA0C4D"/>
    <w:rsid w:val="00AA406E"/>
    <w:rsid w:val="00AC089E"/>
    <w:rsid w:val="00AC3E87"/>
    <w:rsid w:val="00AC7B10"/>
    <w:rsid w:val="00AD3E6A"/>
    <w:rsid w:val="00AE2703"/>
    <w:rsid w:val="00AE5356"/>
    <w:rsid w:val="00AF02D7"/>
    <w:rsid w:val="00AF3658"/>
    <w:rsid w:val="00AF38C5"/>
    <w:rsid w:val="00AF7935"/>
    <w:rsid w:val="00B01212"/>
    <w:rsid w:val="00B06E7A"/>
    <w:rsid w:val="00B2096D"/>
    <w:rsid w:val="00B20EE1"/>
    <w:rsid w:val="00B259C6"/>
    <w:rsid w:val="00B34D23"/>
    <w:rsid w:val="00B42A6A"/>
    <w:rsid w:val="00B42F5E"/>
    <w:rsid w:val="00B43D4D"/>
    <w:rsid w:val="00B46D95"/>
    <w:rsid w:val="00B57D13"/>
    <w:rsid w:val="00B61D1A"/>
    <w:rsid w:val="00B66E6A"/>
    <w:rsid w:val="00B85CB6"/>
    <w:rsid w:val="00B876E7"/>
    <w:rsid w:val="00B94686"/>
    <w:rsid w:val="00B972D7"/>
    <w:rsid w:val="00BA2BD4"/>
    <w:rsid w:val="00BC1C56"/>
    <w:rsid w:val="00BC3566"/>
    <w:rsid w:val="00BD08B3"/>
    <w:rsid w:val="00BD0BBF"/>
    <w:rsid w:val="00BD144C"/>
    <w:rsid w:val="00BD3224"/>
    <w:rsid w:val="00BE10C2"/>
    <w:rsid w:val="00BE69E0"/>
    <w:rsid w:val="00BE7C23"/>
    <w:rsid w:val="00BF7C69"/>
    <w:rsid w:val="00C00627"/>
    <w:rsid w:val="00C014A3"/>
    <w:rsid w:val="00C11AF6"/>
    <w:rsid w:val="00C14C99"/>
    <w:rsid w:val="00C16B18"/>
    <w:rsid w:val="00C255B6"/>
    <w:rsid w:val="00C31729"/>
    <w:rsid w:val="00C32BF3"/>
    <w:rsid w:val="00C40E4B"/>
    <w:rsid w:val="00C44837"/>
    <w:rsid w:val="00C511C1"/>
    <w:rsid w:val="00C548F8"/>
    <w:rsid w:val="00C56F5F"/>
    <w:rsid w:val="00C71216"/>
    <w:rsid w:val="00C7419C"/>
    <w:rsid w:val="00CA47AB"/>
    <w:rsid w:val="00CB4BB1"/>
    <w:rsid w:val="00CB65AD"/>
    <w:rsid w:val="00CB6722"/>
    <w:rsid w:val="00CD240F"/>
    <w:rsid w:val="00CD2D5F"/>
    <w:rsid w:val="00CE310D"/>
    <w:rsid w:val="00CE76AD"/>
    <w:rsid w:val="00CF09E5"/>
    <w:rsid w:val="00CF44C1"/>
    <w:rsid w:val="00CF6054"/>
    <w:rsid w:val="00D0076F"/>
    <w:rsid w:val="00D018C3"/>
    <w:rsid w:val="00D01CC8"/>
    <w:rsid w:val="00D02850"/>
    <w:rsid w:val="00D075A6"/>
    <w:rsid w:val="00D11282"/>
    <w:rsid w:val="00D137DE"/>
    <w:rsid w:val="00D146FE"/>
    <w:rsid w:val="00D22600"/>
    <w:rsid w:val="00D22BC2"/>
    <w:rsid w:val="00D26DFB"/>
    <w:rsid w:val="00D32705"/>
    <w:rsid w:val="00D3452D"/>
    <w:rsid w:val="00D374AD"/>
    <w:rsid w:val="00D40346"/>
    <w:rsid w:val="00D42D79"/>
    <w:rsid w:val="00D52CDF"/>
    <w:rsid w:val="00D62D1B"/>
    <w:rsid w:val="00D67057"/>
    <w:rsid w:val="00D91324"/>
    <w:rsid w:val="00D925CA"/>
    <w:rsid w:val="00D92C91"/>
    <w:rsid w:val="00D9416B"/>
    <w:rsid w:val="00DA4028"/>
    <w:rsid w:val="00DA45E8"/>
    <w:rsid w:val="00DB04BB"/>
    <w:rsid w:val="00DB11AC"/>
    <w:rsid w:val="00DB2A38"/>
    <w:rsid w:val="00DC143F"/>
    <w:rsid w:val="00DC2C85"/>
    <w:rsid w:val="00DC4BA7"/>
    <w:rsid w:val="00DD0D17"/>
    <w:rsid w:val="00DD20B3"/>
    <w:rsid w:val="00DD243E"/>
    <w:rsid w:val="00DD3D21"/>
    <w:rsid w:val="00DE2860"/>
    <w:rsid w:val="00DE6EA9"/>
    <w:rsid w:val="00DF565B"/>
    <w:rsid w:val="00DF5EF3"/>
    <w:rsid w:val="00DF691B"/>
    <w:rsid w:val="00DF755C"/>
    <w:rsid w:val="00E06889"/>
    <w:rsid w:val="00E12055"/>
    <w:rsid w:val="00E12428"/>
    <w:rsid w:val="00E131D8"/>
    <w:rsid w:val="00E1455F"/>
    <w:rsid w:val="00E17353"/>
    <w:rsid w:val="00E24BB1"/>
    <w:rsid w:val="00E35E24"/>
    <w:rsid w:val="00E4006C"/>
    <w:rsid w:val="00E40B55"/>
    <w:rsid w:val="00E43203"/>
    <w:rsid w:val="00E51307"/>
    <w:rsid w:val="00E515A2"/>
    <w:rsid w:val="00E57DCB"/>
    <w:rsid w:val="00E6180F"/>
    <w:rsid w:val="00E8066C"/>
    <w:rsid w:val="00E846DE"/>
    <w:rsid w:val="00E9407B"/>
    <w:rsid w:val="00E955B6"/>
    <w:rsid w:val="00EA42DC"/>
    <w:rsid w:val="00EA56A5"/>
    <w:rsid w:val="00EC2EFF"/>
    <w:rsid w:val="00EC3916"/>
    <w:rsid w:val="00EC68D2"/>
    <w:rsid w:val="00ED0D7B"/>
    <w:rsid w:val="00EE6009"/>
    <w:rsid w:val="00EF29F9"/>
    <w:rsid w:val="00EF5818"/>
    <w:rsid w:val="00F06E1A"/>
    <w:rsid w:val="00F15C71"/>
    <w:rsid w:val="00F17B68"/>
    <w:rsid w:val="00F23802"/>
    <w:rsid w:val="00F506B2"/>
    <w:rsid w:val="00F55C6F"/>
    <w:rsid w:val="00F569BD"/>
    <w:rsid w:val="00F737D6"/>
    <w:rsid w:val="00F751EE"/>
    <w:rsid w:val="00F85D77"/>
    <w:rsid w:val="00F87506"/>
    <w:rsid w:val="00FA0B2E"/>
    <w:rsid w:val="00FA3130"/>
    <w:rsid w:val="00FA67E0"/>
    <w:rsid w:val="00FB73C1"/>
    <w:rsid w:val="00FC0886"/>
    <w:rsid w:val="00FC392C"/>
    <w:rsid w:val="00FC6319"/>
    <w:rsid w:val="00FD0F7A"/>
    <w:rsid w:val="00FD1707"/>
    <w:rsid w:val="00FD23B1"/>
    <w:rsid w:val="00FD60B4"/>
    <w:rsid w:val="00FD74AE"/>
    <w:rsid w:val="00FD7E3B"/>
    <w:rsid w:val="00FE3D72"/>
    <w:rsid w:val="00FE5A85"/>
    <w:rsid w:val="00FF339A"/>
    <w:rsid w:val="00FF57AC"/>
    <w:rsid w:val="00FF7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24182"/>
    </o:shapedefaults>
    <o:shapelayout v:ext="edit">
      <o:idmap v:ext="edit" data="1"/>
    </o:shapelayout>
  </w:shapeDefaults>
  <w:decimalSymbol w:val=","/>
  <w:listSeparator w:val=";"/>
  <w14:docId w14:val="0EC7D3A7"/>
  <w15:docId w15:val="{78199B3E-ABC5-46E5-99F7-B9956E16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72"/>
    <w:rPr>
      <w:sz w:val="24"/>
      <w:szCs w:val="24"/>
    </w:rPr>
  </w:style>
  <w:style w:type="paragraph" w:styleId="Heading1">
    <w:name w:val="heading 1"/>
    <w:basedOn w:val="Normal"/>
    <w:next w:val="Normal"/>
    <w:qFormat/>
    <w:rsid w:val="009A57FC"/>
    <w:pPr>
      <w:keepNext/>
      <w:spacing w:before="240" w:after="120"/>
      <w:outlineLvl w:val="0"/>
    </w:pPr>
    <w:rPr>
      <w:rFonts w:cs="Arial"/>
      <w:b/>
      <w:bCs/>
      <w:caps/>
      <w:kern w:val="32"/>
      <w:sz w:val="28"/>
      <w:szCs w:val="32"/>
    </w:rPr>
  </w:style>
  <w:style w:type="paragraph" w:styleId="Heading2">
    <w:name w:val="heading 2"/>
    <w:basedOn w:val="Normal"/>
    <w:next w:val="Normal"/>
    <w:qFormat/>
    <w:rsid w:val="009A57FC"/>
    <w:pPr>
      <w:keepNext/>
      <w:spacing w:before="120" w:after="60"/>
      <w:outlineLvl w:val="1"/>
    </w:pPr>
    <w:rPr>
      <w:rFonts w:cs="Arial"/>
      <w:b/>
      <w:bCs/>
      <w:iCs/>
      <w:szCs w:val="28"/>
    </w:rPr>
  </w:style>
  <w:style w:type="paragraph" w:styleId="Heading3">
    <w:name w:val="heading 3"/>
    <w:basedOn w:val="Normal"/>
    <w:next w:val="Normal"/>
    <w:qFormat/>
    <w:rsid w:val="009A57FC"/>
    <w:pPr>
      <w:keepNext/>
      <w:spacing w:before="60" w:after="60"/>
      <w:outlineLvl w:val="2"/>
    </w:pPr>
    <w:rPr>
      <w:rFonts w:cs="Arial"/>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064A4F"/>
    <w:pPr>
      <w:overflowPunct w:val="0"/>
      <w:autoSpaceDE w:val="0"/>
      <w:autoSpaceDN w:val="0"/>
      <w:adjustRightInd w:val="0"/>
      <w:spacing w:line="360" w:lineRule="auto"/>
      <w:jc w:val="both"/>
      <w:textAlignment w:val="baseline"/>
    </w:pPr>
    <w:rPr>
      <w:szCs w:val="20"/>
      <w:lang w:val="en-US"/>
    </w:rPr>
  </w:style>
  <w:style w:type="character" w:styleId="PageNumber">
    <w:name w:val="page number"/>
    <w:basedOn w:val="DefaultParagraphFont"/>
    <w:rsid w:val="00FD7E3B"/>
  </w:style>
  <w:style w:type="paragraph" w:styleId="Footer">
    <w:name w:val="footer"/>
    <w:basedOn w:val="Normal"/>
    <w:link w:val="FooterChar"/>
    <w:uiPriority w:val="99"/>
    <w:rsid w:val="009A57FC"/>
    <w:pPr>
      <w:tabs>
        <w:tab w:val="center" w:pos="4320"/>
        <w:tab w:val="right" w:pos="8640"/>
      </w:tabs>
      <w:spacing w:line="360" w:lineRule="auto"/>
      <w:jc w:val="center"/>
    </w:pPr>
    <w:rPr>
      <w:rFonts w:ascii="Calibri" w:hAnsi="Calibri"/>
      <w:color w:val="024182"/>
      <w:sz w:val="16"/>
      <w:szCs w:val="20"/>
    </w:rPr>
  </w:style>
  <w:style w:type="paragraph" w:customStyle="1" w:styleId="Uloga">
    <w:name w:val="Uloga"/>
    <w:basedOn w:val="Normal"/>
    <w:rsid w:val="00A615C9"/>
    <w:pPr>
      <w:tabs>
        <w:tab w:val="center" w:pos="7655"/>
      </w:tabs>
      <w:spacing w:before="240" w:after="600"/>
    </w:pPr>
    <w:rPr>
      <w:b/>
      <w:i/>
      <w:caps/>
      <w:sz w:val="20"/>
    </w:rPr>
  </w:style>
  <w:style w:type="table" w:styleId="TableGrid">
    <w:name w:val="Table Grid"/>
    <w:basedOn w:val="TableNormal"/>
    <w:rsid w:val="00FD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1212"/>
    <w:pPr>
      <w:tabs>
        <w:tab w:val="center" w:pos="4536"/>
        <w:tab w:val="right" w:pos="9072"/>
      </w:tabs>
    </w:pPr>
    <w:rPr>
      <w:rFonts w:ascii="Calibri" w:hAnsi="Calibri"/>
      <w:color w:val="024182"/>
      <w:sz w:val="16"/>
    </w:rPr>
  </w:style>
  <w:style w:type="paragraph" w:customStyle="1" w:styleId="Uloga-ime">
    <w:name w:val="Uloga - ime"/>
    <w:basedOn w:val="Normal"/>
    <w:rsid w:val="00A615C9"/>
    <w:pPr>
      <w:tabs>
        <w:tab w:val="center" w:pos="7655"/>
      </w:tabs>
      <w:spacing w:after="600"/>
    </w:pPr>
    <w:rPr>
      <w:b/>
      <w:i/>
      <w:sz w:val="22"/>
    </w:rPr>
  </w:style>
  <w:style w:type="paragraph" w:styleId="BalloonText">
    <w:name w:val="Balloon Text"/>
    <w:basedOn w:val="Normal"/>
    <w:link w:val="BalloonTextChar"/>
    <w:rsid w:val="00AF02D7"/>
    <w:rPr>
      <w:rFonts w:ascii="Tahoma" w:hAnsi="Tahoma" w:cs="Tahoma"/>
      <w:sz w:val="16"/>
      <w:szCs w:val="16"/>
    </w:rPr>
  </w:style>
  <w:style w:type="character" w:customStyle="1" w:styleId="BalloonTextChar">
    <w:name w:val="Balloon Text Char"/>
    <w:basedOn w:val="DefaultParagraphFont"/>
    <w:link w:val="BalloonText"/>
    <w:rsid w:val="00AF02D7"/>
    <w:rPr>
      <w:rFonts w:ascii="Tahoma" w:hAnsi="Tahoma" w:cs="Tahoma"/>
      <w:sz w:val="16"/>
      <w:szCs w:val="16"/>
    </w:rPr>
  </w:style>
  <w:style w:type="paragraph" w:styleId="ListParagraph">
    <w:name w:val="List Paragraph"/>
    <w:basedOn w:val="Normal"/>
    <w:uiPriority w:val="34"/>
    <w:qFormat/>
    <w:rsid w:val="004D2C9B"/>
    <w:pPr>
      <w:ind w:left="720"/>
      <w:contextualSpacing/>
    </w:pPr>
  </w:style>
  <w:style w:type="character" w:styleId="CommentReference">
    <w:name w:val="annotation reference"/>
    <w:basedOn w:val="DefaultParagraphFont"/>
    <w:semiHidden/>
    <w:unhideWhenUsed/>
    <w:rsid w:val="00795CD5"/>
    <w:rPr>
      <w:sz w:val="16"/>
      <w:szCs w:val="16"/>
    </w:rPr>
  </w:style>
  <w:style w:type="paragraph" w:styleId="CommentText">
    <w:name w:val="annotation text"/>
    <w:basedOn w:val="Normal"/>
    <w:link w:val="CommentTextChar"/>
    <w:semiHidden/>
    <w:unhideWhenUsed/>
    <w:rsid w:val="00795CD5"/>
    <w:rPr>
      <w:sz w:val="20"/>
      <w:szCs w:val="20"/>
    </w:rPr>
  </w:style>
  <w:style w:type="character" w:customStyle="1" w:styleId="CommentTextChar">
    <w:name w:val="Comment Text Char"/>
    <w:basedOn w:val="DefaultParagraphFont"/>
    <w:link w:val="CommentText"/>
    <w:semiHidden/>
    <w:rsid w:val="00795CD5"/>
  </w:style>
  <w:style w:type="paragraph" w:styleId="CommentSubject">
    <w:name w:val="annotation subject"/>
    <w:basedOn w:val="CommentText"/>
    <w:next w:val="CommentText"/>
    <w:link w:val="CommentSubjectChar"/>
    <w:semiHidden/>
    <w:unhideWhenUsed/>
    <w:rsid w:val="00795CD5"/>
    <w:rPr>
      <w:b/>
      <w:bCs/>
    </w:rPr>
  </w:style>
  <w:style w:type="character" w:customStyle="1" w:styleId="CommentSubjectChar">
    <w:name w:val="Comment Subject Char"/>
    <w:basedOn w:val="CommentTextChar"/>
    <w:link w:val="CommentSubject"/>
    <w:semiHidden/>
    <w:rsid w:val="00795CD5"/>
    <w:rPr>
      <w:b/>
      <w:bCs/>
    </w:rPr>
  </w:style>
  <w:style w:type="numbering" w:customStyle="1" w:styleId="Style1">
    <w:name w:val="Style1"/>
    <w:uiPriority w:val="99"/>
    <w:rsid w:val="00F17B68"/>
    <w:pPr>
      <w:numPr>
        <w:numId w:val="5"/>
      </w:numPr>
    </w:pPr>
  </w:style>
  <w:style w:type="numbering" w:customStyle="1" w:styleId="Style2">
    <w:name w:val="Style2"/>
    <w:uiPriority w:val="99"/>
    <w:rsid w:val="00F17B68"/>
    <w:pPr>
      <w:numPr>
        <w:numId w:val="6"/>
      </w:numPr>
    </w:pPr>
  </w:style>
  <w:style w:type="paragraph" w:styleId="NormalWeb">
    <w:name w:val="Normal (Web)"/>
    <w:basedOn w:val="Normal"/>
    <w:uiPriority w:val="99"/>
    <w:semiHidden/>
    <w:unhideWhenUsed/>
    <w:rsid w:val="002709D4"/>
    <w:pPr>
      <w:spacing w:before="100" w:beforeAutospacing="1" w:after="100" w:afterAutospacing="1"/>
    </w:pPr>
    <w:rPr>
      <w:lang w:val="en-US" w:eastAsia="en-US"/>
    </w:rPr>
  </w:style>
  <w:style w:type="paragraph" w:styleId="FootnoteText">
    <w:name w:val="footnote text"/>
    <w:basedOn w:val="Normal"/>
    <w:link w:val="FootnoteTextChar"/>
    <w:semiHidden/>
    <w:unhideWhenUsed/>
    <w:rsid w:val="004F2A44"/>
    <w:rPr>
      <w:sz w:val="20"/>
      <w:szCs w:val="20"/>
    </w:rPr>
  </w:style>
  <w:style w:type="character" w:customStyle="1" w:styleId="FootnoteTextChar">
    <w:name w:val="Footnote Text Char"/>
    <w:basedOn w:val="DefaultParagraphFont"/>
    <w:link w:val="FootnoteText"/>
    <w:semiHidden/>
    <w:rsid w:val="004F2A44"/>
  </w:style>
  <w:style w:type="character" w:styleId="FootnoteReference">
    <w:name w:val="footnote reference"/>
    <w:aliases w:val="Footnote Reference Superscript,Ref,de nota al pie,FC,Appel note de bas de p,referencia nota al pie,Footnote symbol,Texto de nota al pie,Footnotes refss,Appel note de bas de page,fr,o,Style 6,Style 12,(NECG) Footnote Reference,Nota"/>
    <w:basedOn w:val="DefaultParagraphFont"/>
    <w:uiPriority w:val="99"/>
    <w:unhideWhenUsed/>
    <w:qFormat/>
    <w:rsid w:val="004F2A44"/>
    <w:rPr>
      <w:vertAlign w:val="superscript"/>
    </w:rPr>
  </w:style>
  <w:style w:type="paragraph" w:styleId="Revision">
    <w:name w:val="Revision"/>
    <w:hidden/>
    <w:uiPriority w:val="99"/>
    <w:semiHidden/>
    <w:rsid w:val="008638F5"/>
    <w:rPr>
      <w:sz w:val="24"/>
      <w:szCs w:val="24"/>
    </w:rPr>
  </w:style>
  <w:style w:type="paragraph" w:styleId="Caption">
    <w:name w:val="caption"/>
    <w:basedOn w:val="Normal"/>
    <w:next w:val="Normal"/>
    <w:unhideWhenUsed/>
    <w:qFormat/>
    <w:rsid w:val="001C685D"/>
    <w:pPr>
      <w:spacing w:after="200"/>
    </w:pPr>
    <w:rPr>
      <w:i/>
      <w:iCs/>
      <w:color w:val="1F497D" w:themeColor="text2"/>
      <w:sz w:val="18"/>
      <w:szCs w:val="18"/>
    </w:rPr>
  </w:style>
  <w:style w:type="table" w:customStyle="1" w:styleId="export-amendments-table">
    <w:name w:val="export-amendments-table"/>
    <w:rsid w:val="007D6633"/>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7D6633"/>
    <w:rPr>
      <w:rFonts w:ascii="Calibri" w:hAnsi="Calibri"/>
      <w:color w:val="02418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6149">
      <w:bodyDiv w:val="1"/>
      <w:marLeft w:val="0"/>
      <w:marRight w:val="0"/>
      <w:marTop w:val="0"/>
      <w:marBottom w:val="0"/>
      <w:divBdr>
        <w:top w:val="none" w:sz="0" w:space="0" w:color="auto"/>
        <w:left w:val="none" w:sz="0" w:space="0" w:color="auto"/>
        <w:bottom w:val="none" w:sz="0" w:space="0" w:color="auto"/>
        <w:right w:val="none" w:sz="0" w:space="0" w:color="auto"/>
      </w:divBdr>
    </w:div>
    <w:div w:id="1396512465">
      <w:bodyDiv w:val="1"/>
      <w:marLeft w:val="0"/>
      <w:marRight w:val="0"/>
      <w:marTop w:val="0"/>
      <w:marBottom w:val="0"/>
      <w:divBdr>
        <w:top w:val="none" w:sz="0" w:space="0" w:color="auto"/>
        <w:left w:val="none" w:sz="0" w:space="0" w:color="auto"/>
        <w:bottom w:val="none" w:sz="0" w:space="0" w:color="auto"/>
        <w:right w:val="none" w:sz="0" w:space="0" w:color="auto"/>
      </w:divBdr>
    </w:div>
    <w:div w:id="15193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hr-HR" sz="1100"/>
              <a:t>Take up Model</a:t>
            </a:r>
            <a:r>
              <a:rPr lang="hr-HR" sz="1100" baseline="0"/>
              <a:t> 2020 vs Model 2023</a:t>
            </a:r>
            <a:endParaRPr lang="hr-HR" sz="1100"/>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Calculation!$O$122</c:f>
              <c:strCache>
                <c:ptCount val="1"/>
                <c:pt idx="0">
                  <c:v>Take up Model 2023</c:v>
                </c:pt>
              </c:strCache>
            </c:strRef>
          </c:tx>
          <c:spPr>
            <a:ln w="28575" cap="rnd">
              <a:solidFill>
                <a:schemeClr val="accent1"/>
              </a:solidFill>
              <a:round/>
            </a:ln>
            <a:effectLst/>
          </c:spPr>
          <c:marker>
            <c:symbol val="none"/>
          </c:marker>
          <c:cat>
            <c:numRef>
              <c:f>Calculation!$P$121:$Z$121</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Calculation!$P$122:$Z$122</c:f>
              <c:numCache>
                <c:formatCode>0.00%</c:formatCode>
                <c:ptCount val="11"/>
                <c:pt idx="0">
                  <c:v>0.16891714945976155</c:v>
                </c:pt>
                <c:pt idx="1">
                  <c:v>0.18162658601144607</c:v>
                </c:pt>
                <c:pt idx="2">
                  <c:v>0.18757872630591604</c:v>
                </c:pt>
                <c:pt idx="3">
                  <c:v>0.12259789561187087</c:v>
                </c:pt>
                <c:pt idx="4">
                  <c:v>0.13729713964987161</c:v>
                </c:pt>
                <c:pt idx="5">
                  <c:v>0.16520095157958406</c:v>
                </c:pt>
                <c:pt idx="6">
                  <c:v>0.2217335547205144</c:v>
                </c:pt>
                <c:pt idx="7">
                  <c:v>0.30001673145182706</c:v>
                </c:pt>
                <c:pt idx="8">
                  <c:v>0.37534313585427731</c:v>
                </c:pt>
                <c:pt idx="9">
                  <c:v>0.43706322315044488</c:v>
                </c:pt>
                <c:pt idx="10">
                  <c:v>0.4829064811673941</c:v>
                </c:pt>
              </c:numCache>
            </c:numRef>
          </c:val>
          <c:smooth val="0"/>
          <c:extLst>
            <c:ext xmlns:c16="http://schemas.microsoft.com/office/drawing/2014/chart" uri="{C3380CC4-5D6E-409C-BE32-E72D297353CC}">
              <c16:uniqueId val="{00000000-8BDB-43D0-808A-642EE3AE3C1C}"/>
            </c:ext>
          </c:extLst>
        </c:ser>
        <c:ser>
          <c:idx val="1"/>
          <c:order val="1"/>
          <c:tx>
            <c:strRef>
              <c:f>Calculation!$O$123</c:f>
              <c:strCache>
                <c:ptCount val="1"/>
                <c:pt idx="0">
                  <c:v>Take up Model 2020</c:v>
                </c:pt>
              </c:strCache>
            </c:strRef>
          </c:tx>
          <c:spPr>
            <a:ln w="28575" cap="rnd">
              <a:solidFill>
                <a:schemeClr val="accent2"/>
              </a:solidFill>
              <a:round/>
            </a:ln>
            <a:effectLst/>
          </c:spPr>
          <c:marker>
            <c:symbol val="none"/>
          </c:marker>
          <c:cat>
            <c:numRef>
              <c:f>Calculation!$P$121:$Z$121</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Calculation!$P$123:$Z$123</c:f>
              <c:numCache>
                <c:formatCode>0.00%</c:formatCode>
                <c:ptCount val="11"/>
                <c:pt idx="0">
                  <c:v>0.1545425932456069</c:v>
                </c:pt>
                <c:pt idx="1">
                  <c:v>0.16721455527628501</c:v>
                </c:pt>
                <c:pt idx="2">
                  <c:v>0.16867961855272851</c:v>
                </c:pt>
                <c:pt idx="3">
                  <c:v>0.20502807404008025</c:v>
                </c:pt>
                <c:pt idx="4">
                  <c:v>0.23994683184425789</c:v>
                </c:pt>
                <c:pt idx="5">
                  <c:v>0.27782867851944981</c:v>
                </c:pt>
                <c:pt idx="6">
                  <c:v>0.31443444354603095</c:v>
                </c:pt>
                <c:pt idx="7">
                  <c:v>0.38132292389607458</c:v>
                </c:pt>
                <c:pt idx="8">
                  <c:v>0.3986840009569223</c:v>
                </c:pt>
                <c:pt idx="9">
                  <c:v>0.44119023328212559</c:v>
                </c:pt>
                <c:pt idx="10">
                  <c:v>0.4718779478010357</c:v>
                </c:pt>
              </c:numCache>
            </c:numRef>
          </c:val>
          <c:smooth val="0"/>
          <c:extLst>
            <c:ext xmlns:c16="http://schemas.microsoft.com/office/drawing/2014/chart" uri="{C3380CC4-5D6E-409C-BE32-E72D297353CC}">
              <c16:uniqueId val="{00000001-8BDB-43D0-808A-642EE3AE3C1C}"/>
            </c:ext>
          </c:extLst>
        </c:ser>
        <c:dLbls>
          <c:showLegendKey val="0"/>
          <c:showVal val="0"/>
          <c:showCatName val="0"/>
          <c:showSerName val="0"/>
          <c:showPercent val="0"/>
          <c:showBubbleSize val="0"/>
        </c:dLbls>
        <c:smooth val="0"/>
        <c:axId val="823236696"/>
        <c:axId val="823241376"/>
      </c:lineChart>
      <c:catAx>
        <c:axId val="82323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823241376"/>
        <c:crosses val="autoZero"/>
        <c:auto val="1"/>
        <c:lblAlgn val="ctr"/>
        <c:lblOffset val="100"/>
        <c:noMultiLvlLbl val="0"/>
      </c:catAx>
      <c:valAx>
        <c:axId val="823241376"/>
        <c:scaling>
          <c:orientation val="minMax"/>
          <c:max val="0.5"/>
          <c:min val="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823236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06513E61F7742953E5F36630C0129" ma:contentTypeVersion="1" ma:contentTypeDescription="Create a new document." ma:contentTypeScope="" ma:versionID="fccb79ad1e30c92e09224b4e854748e9">
  <xsd:schema xmlns:xsd="http://www.w3.org/2001/XMLSchema" xmlns:xs="http://www.w3.org/2001/XMLSchema" xmlns:p="http://schemas.microsoft.com/office/2006/metadata/properties" xmlns:ns2="f45d8b5b-b624-41fb-afb8-da03212d0f19" targetNamespace="http://schemas.microsoft.com/office/2006/metadata/properties" ma:root="true" ma:fieldsID="3d3acb70d8d5d7ae7aad90d7712f8723" ns2:_="">
    <xsd:import namespace="f45d8b5b-b624-41fb-afb8-da03212d0f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8b5b-b624-41fb-afb8-da03212d0f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532D-22EE-4440-9FEC-C556C95DF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8b5b-b624-41fb-afb8-da03212d0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1F885-87C8-419C-A7E2-6E6EF0AD4BFF}">
  <ds:schemaRefs>
    <ds:schemaRef ds:uri="http://schemas.microsoft.com/sharepoint/v3/contenttype/forms"/>
  </ds:schemaRefs>
</ds:datastoreItem>
</file>

<file path=customXml/itemProps3.xml><?xml version="1.0" encoding="utf-8"?>
<ds:datastoreItem xmlns:ds="http://schemas.openxmlformats.org/officeDocument/2006/customXml" ds:itemID="{355666A3-FCF7-43B2-9553-FBAAAB389D5E}">
  <ds:schemaRefs>
    <ds:schemaRef ds:uri="http://purl.org/dc/terms/"/>
    <ds:schemaRef ds:uri="f45d8b5b-b624-41fb-afb8-da03212d0f19"/>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3C606F7-7E6B-4E3E-AA02-469BF3CE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15645</Words>
  <Characters>89179</Characters>
  <Application>Microsoft Office Word</Application>
  <DocSecurity>0</DocSecurity>
  <Lines>743</Lines>
  <Paragraphs>209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HAKOM</Company>
  <LinksUpToDate>false</LinksUpToDate>
  <CharactersWithSpaces>104615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Memorandum</dc:subject>
  <dc:creator>HAKOM</dc:creator>
  <cp:keywords>English version</cp:keywords>
  <cp:lastModifiedBy>Nataša Oliva Prgeša</cp:lastModifiedBy>
  <cp:revision>2</cp:revision>
  <cp:lastPrinted>2021-02-24T10:36:00Z</cp:lastPrinted>
  <dcterms:created xsi:type="dcterms:W3CDTF">2023-11-22T11:57:00Z</dcterms:created>
  <dcterms:modified xsi:type="dcterms:W3CDTF">2023-11-22T11:57:00Z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ija">
    <vt:lpwstr>3</vt:lpwstr>
  </property>
  <property fmtid="{D5CDD505-2E9C-101B-9397-08002B2CF9AE}" pid="3" name="revizija">
    <vt:lpwstr>0</vt:lpwstr>
  </property>
  <property fmtid="{D5CDD505-2E9C-101B-9397-08002B2CF9AE}" pid="4" name="Datum dovršetka">
    <vt:filetime>2012-08-31T22:00:00Z</vt:filetime>
  </property>
  <property fmtid="{D5CDD505-2E9C-101B-9397-08002B2CF9AE}" pid="5" name="Odjel">
    <vt:lpwstr>Zajednički poslovi</vt:lpwstr>
  </property>
  <property fmtid="{D5CDD505-2E9C-101B-9397-08002B2CF9AE}" pid="6" name="Office">
    <vt:lpwstr>HAKOM</vt:lpwstr>
  </property>
  <property fmtid="{D5CDD505-2E9C-101B-9397-08002B2CF9AE}" pid="7" name="Provjerio">
    <vt:lpwstr>Mirjana Todorić</vt:lpwstr>
  </property>
  <property fmtid="{D5CDD505-2E9C-101B-9397-08002B2CF9AE}" pid="8" name="Uređivač">
    <vt:lpwstr>Cornelia Krušlin</vt:lpwstr>
  </property>
  <property fmtid="{D5CDD505-2E9C-101B-9397-08002B2CF9AE}" pid="9" name="Vlasnik">
    <vt:lpwstr>HAKOM</vt:lpwstr>
  </property>
  <property fmtid="{D5CDD505-2E9C-101B-9397-08002B2CF9AE}" pid="10" name="Jezik">
    <vt:lpwstr>engleski</vt:lpwstr>
  </property>
  <property fmtid="{D5CDD505-2E9C-101B-9397-08002B2CF9AE}" pid="11" name="ContentTypeId">
    <vt:lpwstr>0x0101004FD06513E61F7742953E5F36630C0129</vt:lpwstr>
  </property>
  <property fmtid="{D5CDD505-2E9C-101B-9397-08002B2CF9AE}" pid="12" name="Order">
    <vt:r8>249100</vt:r8>
  </property>
  <property fmtid="{D5CDD505-2E9C-101B-9397-08002B2CF9AE}" pid="13" name="TemplateUrl">
    <vt:lpwstr/>
  </property>
  <property fmtid="{D5CDD505-2E9C-101B-9397-08002B2CF9AE}" pid="14" name="xd_Signature">
    <vt:bool>false</vt:bool>
  </property>
  <property fmtid="{D5CDD505-2E9C-101B-9397-08002B2CF9AE}" pid="15" name="xd_ProgID">
    <vt:lpwstr/>
  </property>
</Properties>
</file>